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B66" w:rsidRDefault="00C30B66" w:rsidP="00C30B66">
      <w:pPr>
        <w:jc w:val="both"/>
        <w:rPr>
          <w:rFonts w:ascii="Arial" w:hAnsi="Arial" w:cs="Arial"/>
          <w:sz w:val="23"/>
          <w:szCs w:val="23"/>
        </w:rPr>
      </w:pPr>
      <w:r>
        <w:rPr>
          <w:rFonts w:ascii="Arial" w:hAnsi="Arial" w:cs="Arial"/>
          <w:sz w:val="28"/>
          <w:szCs w:val="28"/>
        </w:rPr>
        <w:t>251</w:t>
      </w:r>
      <w:r>
        <w:rPr>
          <w:rFonts w:ascii="Arial" w:hAnsi="Arial" w:cs="Arial"/>
          <w:sz w:val="23"/>
          <w:szCs w:val="23"/>
        </w:rPr>
        <w:t>Paper ID: 47STUDENTS’ PREFERENCE AND ACCESSIBILITY OF THE USE OF ONLINE LEARNING RESOURCES FOR NON-BASIC EDUCATION PROGRAMS AT UPBBJ-UT MAKASSAR</w:t>
      </w:r>
    </w:p>
    <w:p w:rsidR="00C30B66" w:rsidRDefault="00C30B66" w:rsidP="00C30B66">
      <w:pPr>
        <w:jc w:val="both"/>
        <w:rPr>
          <w:rFonts w:ascii="Arial" w:hAnsi="Arial" w:cs="Arial"/>
          <w:sz w:val="23"/>
          <w:szCs w:val="23"/>
        </w:rPr>
      </w:pPr>
      <w:r>
        <w:rPr>
          <w:rFonts w:ascii="Arial" w:hAnsi="Arial" w:cs="Arial"/>
          <w:sz w:val="23"/>
          <w:szCs w:val="23"/>
        </w:rPr>
        <w:t>Kusmaladewi</w:t>
      </w:r>
      <w:r>
        <w:rPr>
          <w:rFonts w:ascii="Arial" w:hAnsi="Arial" w:cs="Arial"/>
          <w:sz w:val="15"/>
          <w:szCs w:val="15"/>
        </w:rPr>
        <w:t>1</w:t>
      </w:r>
      <w:r>
        <w:rPr>
          <w:rFonts w:ascii="Arial" w:hAnsi="Arial" w:cs="Arial"/>
          <w:sz w:val="23"/>
          <w:szCs w:val="23"/>
        </w:rPr>
        <w:t>, Jamil</w:t>
      </w:r>
      <w:r>
        <w:rPr>
          <w:rFonts w:ascii="Arial" w:hAnsi="Arial" w:cs="Arial"/>
          <w:sz w:val="15"/>
          <w:szCs w:val="15"/>
        </w:rPr>
        <w:t>21</w:t>
      </w:r>
      <w:r>
        <w:rPr>
          <w:rFonts w:ascii="Arial" w:hAnsi="Arial" w:cs="Arial"/>
          <w:sz w:val="23"/>
          <w:szCs w:val="23"/>
        </w:rPr>
        <w:t>Universitas Terbuka Indonesia</w:t>
      </w:r>
      <w:r>
        <w:rPr>
          <w:rFonts w:ascii="Arial" w:hAnsi="Arial" w:cs="Arial"/>
          <w:sz w:val="15"/>
          <w:szCs w:val="15"/>
        </w:rPr>
        <w:t>2</w:t>
      </w:r>
      <w:r>
        <w:rPr>
          <w:rFonts w:ascii="Arial" w:hAnsi="Arial" w:cs="Arial"/>
          <w:sz w:val="23"/>
          <w:szCs w:val="23"/>
        </w:rPr>
        <w:t>UPBJJ-UT, Makassar, Indonesia</w:t>
      </w:r>
    </w:p>
    <w:p w:rsidR="00C30B66" w:rsidRDefault="00C30B66" w:rsidP="00C30B66">
      <w:pPr>
        <w:jc w:val="center"/>
        <w:rPr>
          <w:rFonts w:ascii="Arial" w:hAnsi="Arial" w:cs="Arial"/>
          <w:sz w:val="23"/>
          <w:szCs w:val="23"/>
        </w:rPr>
      </w:pPr>
      <w:r>
        <w:rPr>
          <w:rFonts w:ascii="Arial" w:hAnsi="Arial" w:cs="Arial"/>
          <w:sz w:val="23"/>
          <w:szCs w:val="23"/>
        </w:rPr>
        <w:t>Abstract</w:t>
      </w:r>
    </w:p>
    <w:p w:rsidR="009F6B9D" w:rsidRDefault="00C30B66" w:rsidP="00C30B66">
      <w:pPr>
        <w:jc w:val="both"/>
        <w:rPr>
          <w:rFonts w:ascii="Arial" w:hAnsi="Arial" w:cs="Arial"/>
          <w:sz w:val="23"/>
          <w:szCs w:val="23"/>
        </w:rPr>
      </w:pPr>
      <w:r>
        <w:rPr>
          <w:rFonts w:ascii="Arial" w:hAnsi="Arial" w:cs="Arial"/>
          <w:sz w:val="23"/>
          <w:szCs w:val="23"/>
        </w:rPr>
        <w:t xml:space="preserve">This study is descriptive in nature and seeks to depict the preferences among students of Non Basic Education who make use of online-based learning resources at UPBJJ-UT (Distance Learning Program Unit-Open University) Makassar along with their accessibility. Frequency analysis is a descriptive statistic that undertakes a survey method used for collecting the set of data. Results show that the preferences students have for the use of online learning resources generate favorable rate, ranging above 4.0, across all respondents, in terms of the fulfillment, ease of use and usefulness of the online learning resources. Similar rate is found in terms of the accessibility; UPBJJ-UT Makassar has ensured that access to online learning resources and opportunities is available for all students of Non Basic Education. This is indicative of students’ strong tendency to capitalize on learning in online platforms. </w:t>
      </w:r>
    </w:p>
    <w:p w:rsidR="00A17E9D" w:rsidRDefault="00C30B66" w:rsidP="00C30B66">
      <w:pPr>
        <w:jc w:val="both"/>
        <w:rPr>
          <w:rFonts w:ascii="Arial" w:hAnsi="Arial" w:cs="Arial"/>
          <w:sz w:val="23"/>
          <w:szCs w:val="23"/>
        </w:rPr>
      </w:pPr>
      <w:r>
        <w:rPr>
          <w:rFonts w:ascii="Arial" w:hAnsi="Arial" w:cs="Arial"/>
          <w:sz w:val="23"/>
          <w:szCs w:val="23"/>
        </w:rPr>
        <w:t>Keywords: Preferences, Accessibility, Online learning resources.</w:t>
      </w:r>
    </w:p>
    <w:p w:rsidR="0016752B" w:rsidRDefault="0016752B" w:rsidP="00C30B66">
      <w:pPr>
        <w:jc w:val="both"/>
        <w:rPr>
          <w:rFonts w:ascii="Arial" w:hAnsi="Arial" w:cs="Arial"/>
          <w:sz w:val="23"/>
          <w:szCs w:val="23"/>
        </w:rPr>
      </w:pPr>
    </w:p>
    <w:p w:rsidR="0016752B" w:rsidRPr="006F0952" w:rsidRDefault="0016752B" w:rsidP="0016752B">
      <w:pPr>
        <w:jc w:val="center"/>
        <w:rPr>
          <w:rFonts w:ascii="Times New Roman" w:hAnsi="Times New Roman" w:cs="Times New Roman"/>
          <w:b/>
          <w:sz w:val="28"/>
          <w:szCs w:val="28"/>
          <w:u w:val="single"/>
        </w:rPr>
      </w:pPr>
      <w:r w:rsidRPr="006F0952">
        <w:rPr>
          <w:rFonts w:ascii="Times New Roman" w:hAnsi="Times New Roman" w:cs="Times New Roman"/>
          <w:b/>
          <w:sz w:val="28"/>
          <w:szCs w:val="28"/>
          <w:u w:val="single"/>
        </w:rPr>
        <w:t>FORMULIR UPLOAD ARTIKEL REPOSITORY UT</w:t>
      </w:r>
    </w:p>
    <w:p w:rsidR="0016752B" w:rsidRDefault="0016752B" w:rsidP="0016752B">
      <w:pPr>
        <w:jc w:val="center"/>
        <w:rPr>
          <w:rFonts w:ascii="Times New Roman" w:hAnsi="Times New Roman" w:cs="Times New Roman"/>
          <w:sz w:val="28"/>
          <w:szCs w:val="28"/>
        </w:rPr>
      </w:pPr>
    </w:p>
    <w:tbl>
      <w:tblPr>
        <w:tblStyle w:val="TableGrid"/>
        <w:tblW w:w="9917" w:type="dxa"/>
        <w:tblLook w:val="04A0" w:firstRow="1" w:lastRow="0" w:firstColumn="1" w:lastColumn="0" w:noHBand="0" w:noVBand="1"/>
      </w:tblPr>
      <w:tblGrid>
        <w:gridCol w:w="3823"/>
        <w:gridCol w:w="6094"/>
      </w:tblGrid>
      <w:tr w:rsidR="0016752B" w:rsidTr="0089592B">
        <w:tc>
          <w:tcPr>
            <w:tcW w:w="3823" w:type="dxa"/>
          </w:tcPr>
          <w:p w:rsidR="0016752B" w:rsidRDefault="0016752B" w:rsidP="0089592B">
            <w:pPr>
              <w:rPr>
                <w:rFonts w:ascii="Times New Roman" w:hAnsi="Times New Roman" w:cs="Times New Roman"/>
                <w:sz w:val="28"/>
                <w:szCs w:val="28"/>
              </w:rPr>
            </w:pPr>
            <w:r>
              <w:rPr>
                <w:rFonts w:ascii="Times New Roman" w:hAnsi="Times New Roman" w:cs="Times New Roman"/>
                <w:sz w:val="28"/>
                <w:szCs w:val="28"/>
              </w:rPr>
              <w:t>Judul Artikel</w:t>
            </w: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r>
              <w:rPr>
                <w:rFonts w:ascii="Times New Roman" w:hAnsi="Times New Roman" w:cs="Times New Roman"/>
                <w:sz w:val="28"/>
                <w:szCs w:val="28"/>
              </w:rPr>
              <w:t>Nama Penulis</w:t>
            </w:r>
          </w:p>
          <w:p w:rsidR="0016752B" w:rsidRDefault="0016752B" w:rsidP="0089592B">
            <w:pPr>
              <w:rPr>
                <w:rFonts w:ascii="Times New Roman" w:hAnsi="Times New Roman" w:cs="Times New Roman"/>
                <w:sz w:val="28"/>
                <w:szCs w:val="28"/>
              </w:rPr>
            </w:pPr>
            <w:r>
              <w:rPr>
                <w:rFonts w:ascii="Times New Roman" w:hAnsi="Times New Roman" w:cs="Times New Roman"/>
                <w:sz w:val="28"/>
                <w:szCs w:val="28"/>
              </w:rPr>
              <w:t>Nama Jurnal</w:t>
            </w: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r>
              <w:rPr>
                <w:rFonts w:ascii="Times New Roman" w:hAnsi="Times New Roman" w:cs="Times New Roman"/>
                <w:sz w:val="28"/>
                <w:szCs w:val="28"/>
              </w:rPr>
              <w:t>Volume Jurnal  &amp; No.Jurnal</w:t>
            </w: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r>
              <w:rPr>
                <w:rFonts w:ascii="Times New Roman" w:hAnsi="Times New Roman" w:cs="Times New Roman"/>
                <w:sz w:val="28"/>
                <w:szCs w:val="28"/>
              </w:rPr>
              <w:t>Abstrak/deskripsi artikel</w:t>
            </w: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p>
          <w:p w:rsidR="0016752B" w:rsidRDefault="0016752B" w:rsidP="0089592B">
            <w:pPr>
              <w:rPr>
                <w:rFonts w:ascii="Times New Roman" w:hAnsi="Times New Roman" w:cs="Times New Roman"/>
                <w:sz w:val="28"/>
                <w:szCs w:val="28"/>
              </w:rPr>
            </w:pPr>
            <w:r>
              <w:rPr>
                <w:rFonts w:ascii="Times New Roman" w:hAnsi="Times New Roman" w:cs="Times New Roman"/>
                <w:sz w:val="28"/>
                <w:szCs w:val="28"/>
              </w:rPr>
              <w:t>ISSN</w:t>
            </w:r>
          </w:p>
          <w:p w:rsidR="0016752B" w:rsidRDefault="0016752B" w:rsidP="0089592B">
            <w:pPr>
              <w:rPr>
                <w:rFonts w:ascii="Times New Roman" w:hAnsi="Times New Roman" w:cs="Times New Roman"/>
                <w:sz w:val="28"/>
                <w:szCs w:val="28"/>
              </w:rPr>
            </w:pPr>
            <w:r>
              <w:rPr>
                <w:rFonts w:ascii="Times New Roman" w:hAnsi="Times New Roman" w:cs="Times New Roman"/>
                <w:sz w:val="28"/>
                <w:szCs w:val="28"/>
              </w:rPr>
              <w:t>Tempat Terbit/penerbit/th terbit</w:t>
            </w:r>
          </w:p>
          <w:p w:rsidR="0016752B" w:rsidRDefault="0016752B" w:rsidP="0089592B">
            <w:pPr>
              <w:rPr>
                <w:rFonts w:ascii="Times New Roman" w:hAnsi="Times New Roman" w:cs="Times New Roman"/>
                <w:sz w:val="28"/>
                <w:szCs w:val="28"/>
              </w:rPr>
            </w:pPr>
            <w:r>
              <w:rPr>
                <w:rFonts w:ascii="Times New Roman" w:hAnsi="Times New Roman" w:cs="Times New Roman"/>
                <w:sz w:val="28"/>
                <w:szCs w:val="28"/>
              </w:rPr>
              <w:t>Halaman (Page range)</w:t>
            </w:r>
          </w:p>
          <w:p w:rsidR="0016752B" w:rsidRDefault="0016752B" w:rsidP="0089592B">
            <w:pPr>
              <w:rPr>
                <w:rFonts w:ascii="Times New Roman" w:hAnsi="Times New Roman" w:cs="Times New Roman"/>
                <w:sz w:val="28"/>
                <w:szCs w:val="28"/>
              </w:rPr>
            </w:pPr>
            <w:r>
              <w:rPr>
                <w:rFonts w:ascii="Times New Roman" w:hAnsi="Times New Roman" w:cs="Times New Roman"/>
                <w:sz w:val="28"/>
                <w:szCs w:val="28"/>
              </w:rPr>
              <w:t>Kata Kunci</w:t>
            </w:r>
          </w:p>
        </w:tc>
        <w:tc>
          <w:tcPr>
            <w:tcW w:w="6094" w:type="dxa"/>
          </w:tcPr>
          <w:p w:rsidR="0016752B" w:rsidRDefault="0016752B" w:rsidP="0016752B">
            <w:pPr>
              <w:jc w:val="both"/>
              <w:rPr>
                <w:rFonts w:ascii="Arial" w:hAnsi="Arial" w:cs="Arial"/>
                <w:sz w:val="23"/>
                <w:szCs w:val="23"/>
              </w:rPr>
            </w:pPr>
            <w:r>
              <w:rPr>
                <w:rFonts w:ascii="Arial" w:hAnsi="Arial" w:cs="Arial"/>
                <w:sz w:val="23"/>
                <w:szCs w:val="23"/>
              </w:rPr>
              <w:lastRenderedPageBreak/>
              <w:t>47STUDENTS’ PREFERENCE AND ACCESSIBILITY OF THE USE OF ONLINE LEARNING RESOURCES FOR NON-BASIC EDUCATION PROGRAMS AT UPBBJ-UT MAKASSAR</w:t>
            </w:r>
          </w:p>
          <w:p w:rsidR="0016752B" w:rsidRDefault="0016752B" w:rsidP="0089592B">
            <w:pPr>
              <w:ind w:left="176" w:hanging="284"/>
              <w:rPr>
                <w:rFonts w:ascii="Times New Roman" w:hAnsi="Times New Roman" w:cs="Times New Roman"/>
                <w:sz w:val="28"/>
                <w:szCs w:val="28"/>
              </w:rPr>
            </w:pPr>
          </w:p>
          <w:p w:rsidR="0016752B" w:rsidRDefault="0016752B" w:rsidP="0089592B">
            <w:pPr>
              <w:ind w:left="175" w:hanging="175"/>
              <w:rPr>
                <w:rFonts w:ascii="Times New Roman" w:hAnsi="Times New Roman" w:cs="Times New Roman"/>
                <w:sz w:val="28"/>
                <w:szCs w:val="28"/>
              </w:rPr>
            </w:pPr>
            <w:r>
              <w:rPr>
                <w:rFonts w:ascii="Times New Roman" w:hAnsi="Times New Roman" w:cs="Times New Roman"/>
                <w:sz w:val="28"/>
                <w:szCs w:val="28"/>
              </w:rPr>
              <w:t>Drs. Jamil, M.Pd</w:t>
            </w:r>
          </w:p>
          <w:p w:rsidR="0016752B" w:rsidRDefault="0016752B" w:rsidP="0089592B">
            <w:pPr>
              <w:ind w:left="175" w:hanging="175"/>
              <w:jc w:val="both"/>
              <w:rPr>
                <w:rFonts w:ascii="Times New Roman" w:hAnsi="Times New Roman" w:cs="Times New Roman"/>
                <w:b/>
                <w:sz w:val="28"/>
                <w:szCs w:val="28"/>
              </w:rPr>
            </w:pPr>
            <w:r>
              <w:rPr>
                <w:rFonts w:ascii="Times New Roman" w:hAnsi="Times New Roman" w:cs="Times New Roman"/>
                <w:b/>
                <w:sz w:val="28"/>
                <w:szCs w:val="28"/>
              </w:rPr>
              <w:t>AAOU2019 Procedings</w:t>
            </w:r>
          </w:p>
          <w:p w:rsidR="0016752B" w:rsidRDefault="0016752B" w:rsidP="0089592B">
            <w:pPr>
              <w:ind w:left="175" w:hanging="175"/>
              <w:jc w:val="both"/>
              <w:rPr>
                <w:rFonts w:ascii="Times New Roman" w:hAnsi="Times New Roman" w:cs="Times New Roman"/>
                <w:b/>
                <w:sz w:val="28"/>
                <w:szCs w:val="28"/>
              </w:rPr>
            </w:pPr>
            <w:r>
              <w:rPr>
                <w:rFonts w:ascii="Times New Roman" w:hAnsi="Times New Roman" w:cs="Times New Roman"/>
                <w:b/>
                <w:sz w:val="28"/>
                <w:szCs w:val="28"/>
              </w:rPr>
              <w:t xml:space="preserve">The 33”Annual Conference of Open Universities Open Distance Learning 2020 And Beyond  </w:t>
            </w:r>
          </w:p>
          <w:p w:rsidR="0016752B" w:rsidRDefault="0016752B" w:rsidP="0089592B">
            <w:pPr>
              <w:ind w:left="175" w:hanging="175"/>
              <w:jc w:val="both"/>
              <w:rPr>
                <w:rFonts w:ascii="Times New Roman" w:hAnsi="Times New Roman" w:cs="Times New Roman"/>
                <w:b/>
                <w:sz w:val="28"/>
                <w:szCs w:val="28"/>
              </w:rPr>
            </w:pPr>
          </w:p>
          <w:p w:rsidR="0016752B" w:rsidRDefault="0016752B" w:rsidP="0089592B">
            <w:pPr>
              <w:rPr>
                <w:rFonts w:ascii="Times New Roman" w:hAnsi="Times New Roman" w:cs="Times New Roman"/>
                <w:sz w:val="28"/>
                <w:szCs w:val="28"/>
              </w:rPr>
            </w:pPr>
            <w:r>
              <w:rPr>
                <w:rFonts w:ascii="Times New Roman" w:hAnsi="Times New Roman" w:cs="Times New Roman"/>
                <w:sz w:val="28"/>
                <w:szCs w:val="28"/>
              </w:rPr>
              <w:t xml:space="preserve"> </w:t>
            </w:r>
          </w:p>
          <w:p w:rsidR="0016752B" w:rsidRDefault="0016752B" w:rsidP="0089592B">
            <w:pPr>
              <w:rPr>
                <w:rFonts w:ascii="Times New Roman" w:hAnsi="Times New Roman" w:cs="Times New Roman"/>
                <w:b/>
                <w:sz w:val="24"/>
                <w:szCs w:val="24"/>
              </w:rPr>
            </w:pPr>
          </w:p>
          <w:p w:rsidR="0016752B" w:rsidRDefault="0016752B" w:rsidP="0089592B">
            <w:pPr>
              <w:rPr>
                <w:rFonts w:ascii="Times New Roman" w:hAnsi="Times New Roman" w:cs="Times New Roman"/>
                <w:b/>
                <w:sz w:val="28"/>
                <w:szCs w:val="28"/>
              </w:rPr>
            </w:pPr>
            <w:r w:rsidRPr="008946A9">
              <w:rPr>
                <w:rFonts w:ascii="Times New Roman" w:hAnsi="Times New Roman" w:cs="Times New Roman"/>
                <w:b/>
                <w:sz w:val="28"/>
                <w:szCs w:val="28"/>
              </w:rPr>
              <w:t xml:space="preserve">                          </w:t>
            </w:r>
          </w:p>
          <w:p w:rsidR="0016752B" w:rsidRDefault="0016752B" w:rsidP="0089592B">
            <w:pPr>
              <w:rPr>
                <w:rFonts w:ascii="Times New Roman" w:hAnsi="Times New Roman" w:cs="Times New Roman"/>
                <w:b/>
                <w:sz w:val="28"/>
                <w:szCs w:val="28"/>
              </w:rPr>
            </w:pPr>
          </w:p>
          <w:p w:rsidR="0016752B" w:rsidRPr="008946A9" w:rsidRDefault="0016752B" w:rsidP="0089592B">
            <w:pPr>
              <w:rPr>
                <w:rFonts w:ascii="Times New Roman" w:eastAsia="Times New Roman" w:hAnsi="Times New Roman" w:cs="Times New Roman"/>
                <w:b/>
                <w:i/>
                <w:sz w:val="28"/>
                <w:szCs w:val="28"/>
                <w:lang w:val="sv-SE"/>
              </w:rPr>
            </w:pPr>
            <w:r>
              <w:rPr>
                <w:rFonts w:ascii="Times New Roman" w:hAnsi="Times New Roman" w:cs="Times New Roman"/>
                <w:b/>
                <w:sz w:val="28"/>
                <w:szCs w:val="28"/>
              </w:rPr>
              <w:t>:</w:t>
            </w:r>
            <w:r w:rsidRPr="008946A9">
              <w:rPr>
                <w:rFonts w:ascii="Times New Roman" w:hAnsi="Times New Roman" w:cs="Times New Roman"/>
                <w:b/>
                <w:sz w:val="28"/>
                <w:szCs w:val="28"/>
              </w:rPr>
              <w:t xml:space="preserve">  </w:t>
            </w:r>
            <w:r w:rsidRPr="008946A9">
              <w:rPr>
                <w:rFonts w:ascii="Times New Roman" w:eastAsia="Times New Roman" w:hAnsi="Times New Roman" w:cs="Times New Roman"/>
                <w:b/>
                <w:i/>
                <w:sz w:val="28"/>
                <w:szCs w:val="28"/>
                <w:lang w:val="sv-SE"/>
              </w:rPr>
              <w:t>Abstrak</w:t>
            </w:r>
          </w:p>
          <w:p w:rsidR="0016752B" w:rsidRDefault="0016752B" w:rsidP="0016752B">
            <w:pPr>
              <w:jc w:val="both"/>
              <w:rPr>
                <w:rFonts w:ascii="Arial" w:hAnsi="Arial" w:cs="Arial"/>
                <w:sz w:val="23"/>
                <w:szCs w:val="23"/>
              </w:rPr>
            </w:pPr>
            <w:r>
              <w:rPr>
                <w:rFonts w:ascii="Arial" w:hAnsi="Arial" w:cs="Arial"/>
                <w:sz w:val="23"/>
                <w:szCs w:val="23"/>
              </w:rPr>
              <w:t xml:space="preserve">This study is descriptive in nature and seeks to depict the preferences among students of Non Basic Education who make use of online-based learning resources at UPBJJ-UT (Distance Learning Program Unit-Open University) </w:t>
            </w:r>
            <w:r>
              <w:rPr>
                <w:rFonts w:ascii="Arial" w:hAnsi="Arial" w:cs="Arial"/>
                <w:sz w:val="23"/>
                <w:szCs w:val="23"/>
              </w:rPr>
              <w:lastRenderedPageBreak/>
              <w:t xml:space="preserve">Makassar along with their accessibility. Frequency analysis is a descriptive statistic that undertakes a survey method used for collecting the set of data. Results show that the preferences students have for the use of online learning resources generate favorable rate, ranging above 4.0, across all respondents, in terms of the fulfillment, ease of use and usefulness of the online learning resources. Similar rate is found in terms of the accessibility; UPBJJ-UT Makassar has ensured that access to online learning resources and opportunities is available for all students of Non Basic Education. This is indicative of students’ strong tendency to capitalize on learning in online platforms. </w:t>
            </w:r>
          </w:p>
          <w:p w:rsidR="0090375F" w:rsidRDefault="0090375F" w:rsidP="0089592B">
            <w:pPr>
              <w:ind w:left="175" w:hanging="175"/>
              <w:rPr>
                <w:rFonts w:ascii="Times New Roman" w:hAnsi="Times New Roman" w:cs="Times New Roman"/>
                <w:sz w:val="28"/>
                <w:szCs w:val="28"/>
              </w:rPr>
            </w:pPr>
          </w:p>
          <w:p w:rsidR="0090375F" w:rsidRDefault="0090375F" w:rsidP="0089592B">
            <w:pPr>
              <w:ind w:left="175" w:hanging="175"/>
              <w:rPr>
                <w:rFonts w:ascii="Times New Roman" w:hAnsi="Times New Roman" w:cs="Times New Roman"/>
                <w:sz w:val="28"/>
                <w:szCs w:val="28"/>
              </w:rPr>
            </w:pPr>
          </w:p>
          <w:p w:rsidR="0016752B" w:rsidRDefault="0016752B" w:rsidP="00366FA1">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Virtual University Of Pakistan </w:t>
            </w:r>
          </w:p>
          <w:p w:rsidR="0016752B" w:rsidRDefault="0090375F" w:rsidP="0089592B">
            <w:pPr>
              <w:ind w:left="175" w:hanging="175"/>
              <w:rPr>
                <w:rFonts w:ascii="Times New Roman" w:hAnsi="Times New Roman" w:cs="Times New Roman"/>
                <w:sz w:val="28"/>
                <w:szCs w:val="28"/>
              </w:rPr>
            </w:pPr>
            <w:r>
              <w:rPr>
                <w:rFonts w:ascii="Times New Roman" w:hAnsi="Times New Roman" w:cs="Times New Roman"/>
                <w:sz w:val="28"/>
                <w:szCs w:val="28"/>
              </w:rPr>
              <w:t>: 251 – 258</w:t>
            </w:r>
          </w:p>
          <w:p w:rsidR="0016752B" w:rsidRDefault="0016752B" w:rsidP="0089592B">
            <w:pPr>
              <w:ind w:left="175" w:hanging="175"/>
              <w:rPr>
                <w:rFonts w:ascii="Times New Roman" w:hAnsi="Times New Roman" w:cs="Times New Roman"/>
                <w:sz w:val="28"/>
                <w:szCs w:val="28"/>
              </w:rPr>
            </w:pPr>
            <w:r>
              <w:rPr>
                <w:rFonts w:ascii="Times New Roman" w:hAnsi="Times New Roman" w:cs="Times New Roman"/>
                <w:sz w:val="28"/>
                <w:szCs w:val="28"/>
              </w:rPr>
              <w:t xml:space="preserve">: </w:t>
            </w:r>
            <w:r w:rsidR="00DC6973">
              <w:rPr>
                <w:rFonts w:ascii="Arial" w:hAnsi="Arial" w:cs="Arial"/>
                <w:sz w:val="23"/>
                <w:szCs w:val="23"/>
              </w:rPr>
              <w:t>Preferences, Accessibility, Online learning resources.</w:t>
            </w:r>
          </w:p>
        </w:tc>
      </w:tr>
    </w:tbl>
    <w:p w:rsidR="0016752B" w:rsidRDefault="0016752B" w:rsidP="0016752B">
      <w:pPr>
        <w:rPr>
          <w:rFonts w:ascii="Times New Roman" w:hAnsi="Times New Roman" w:cs="Times New Roman"/>
          <w:sz w:val="28"/>
          <w:szCs w:val="28"/>
        </w:rPr>
      </w:pPr>
    </w:p>
    <w:p w:rsidR="0016752B" w:rsidRDefault="0016752B" w:rsidP="00C30B66">
      <w:pPr>
        <w:jc w:val="both"/>
      </w:pPr>
    </w:p>
    <w:sectPr w:rsidR="001675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9C"/>
    <w:rsid w:val="0016752B"/>
    <w:rsid w:val="00366FA1"/>
    <w:rsid w:val="00740A9C"/>
    <w:rsid w:val="0090375F"/>
    <w:rsid w:val="009F6B9D"/>
    <w:rsid w:val="00A17E9D"/>
    <w:rsid w:val="00C30B66"/>
    <w:rsid w:val="00DC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8C787-433E-41EF-AA4A-FB7109F2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dc:creator>
  <cp:keywords/>
  <dc:description/>
  <cp:lastModifiedBy>jamil</cp:lastModifiedBy>
  <cp:revision>6</cp:revision>
  <dcterms:created xsi:type="dcterms:W3CDTF">2020-11-18T05:52:00Z</dcterms:created>
  <dcterms:modified xsi:type="dcterms:W3CDTF">2020-11-18T08:18:00Z</dcterms:modified>
</cp:coreProperties>
</file>