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7C7F8" w14:textId="77777777" w:rsidR="00762A1D" w:rsidRPr="008B0C98" w:rsidRDefault="00000000">
      <w:pPr>
        <w:jc w:val="center"/>
        <w:rPr>
          <w:rFonts w:ascii="Times New Roman" w:eastAsia="Times New Roman" w:hAnsi="Times New Roman" w:cs="Times New Roman"/>
          <w:b/>
          <w:lang w:val="nl-NL"/>
        </w:rPr>
      </w:pPr>
      <w:r w:rsidRPr="008B0C98">
        <w:rPr>
          <w:rFonts w:ascii="Times New Roman" w:eastAsia="Times New Roman" w:hAnsi="Times New Roman" w:cs="Times New Roman"/>
          <w:b/>
          <w:lang w:val="nl-NL"/>
        </w:rPr>
        <w:t>Investasi Hijau dalam Tinjauan Bibliometrik Tren dan Arah Masa Depan</w:t>
      </w:r>
    </w:p>
    <w:p w14:paraId="722F5513" w14:textId="77777777" w:rsidR="00762A1D" w:rsidRPr="00C72D16" w:rsidRDefault="00000000">
      <w:pPr>
        <w:jc w:val="center"/>
        <w:rPr>
          <w:rFonts w:ascii="Times New Roman" w:eastAsia="Times New Roman" w:hAnsi="Times New Roman" w:cs="Times New Roman"/>
          <w:bCs/>
        </w:rPr>
      </w:pPr>
      <w:r w:rsidRPr="00C72D16">
        <w:rPr>
          <w:rFonts w:ascii="Times New Roman" w:eastAsia="Times New Roman" w:hAnsi="Times New Roman" w:cs="Times New Roman"/>
          <w:bCs/>
        </w:rPr>
        <w:t>Deane Rahmamita, Sabna Ainazah Fatikhah, Nadya Kariza</w:t>
      </w:r>
    </w:p>
    <w:p w14:paraId="4C1EE48F" w14:textId="089D7BAC" w:rsidR="00762A1D" w:rsidRPr="00C72D16" w:rsidRDefault="00000000" w:rsidP="00C72D16">
      <w:pPr>
        <w:jc w:val="center"/>
        <w:rPr>
          <w:rFonts w:ascii="Times New Roman" w:eastAsia="Times New Roman" w:hAnsi="Times New Roman" w:cs="Times New Roman"/>
          <w:bCs/>
          <w:lang w:val="nl-NL"/>
        </w:rPr>
      </w:pPr>
      <w:r w:rsidRPr="00C72D16">
        <w:rPr>
          <w:rFonts w:ascii="Times New Roman" w:eastAsia="Times New Roman" w:hAnsi="Times New Roman" w:cs="Times New Roman"/>
          <w:bCs/>
          <w:lang w:val="nl-NL"/>
        </w:rPr>
        <w:t>Universitas Terbuka</w:t>
      </w:r>
    </w:p>
    <w:p w14:paraId="58332EE5" w14:textId="77777777" w:rsidR="00762A1D" w:rsidRPr="008B0C98" w:rsidRDefault="00000000">
      <w:pPr>
        <w:jc w:val="center"/>
        <w:rPr>
          <w:rFonts w:ascii="Times New Roman" w:eastAsia="Times New Roman" w:hAnsi="Times New Roman" w:cs="Times New Roman"/>
          <w:b/>
          <w:lang w:val="nl-NL"/>
        </w:rPr>
      </w:pPr>
      <w:r w:rsidRPr="008B0C98">
        <w:rPr>
          <w:rFonts w:ascii="Times New Roman" w:eastAsia="Times New Roman" w:hAnsi="Times New Roman" w:cs="Times New Roman"/>
          <w:b/>
          <w:lang w:val="nl-NL"/>
        </w:rPr>
        <w:t>Abstrak</w:t>
      </w:r>
    </w:p>
    <w:p w14:paraId="54B2C737" w14:textId="38E33339" w:rsidR="00C36110" w:rsidRPr="00C36110" w:rsidRDefault="00C36110" w:rsidP="00C36110">
      <w:pPr>
        <w:spacing w:before="240" w:after="240"/>
        <w:jc w:val="both"/>
        <w:rPr>
          <w:rFonts w:ascii="Times New Roman" w:eastAsia="Times New Roman" w:hAnsi="Times New Roman" w:cs="Times New Roman"/>
          <w:lang w:val="nl-NL"/>
        </w:rPr>
      </w:pPr>
      <w:r w:rsidRPr="00C36110">
        <w:rPr>
          <w:rFonts w:ascii="Times New Roman" w:eastAsia="Times New Roman" w:hAnsi="Times New Roman" w:cs="Times New Roman"/>
          <w:lang w:val="nl-NL"/>
        </w:rPr>
        <w:t>Penelitian ini bertujuan untuk menganalisis lanskap akademik mengenai investasi hijau melalui pendekatan bibliometrik. Studi ini mengidentifikasi tren volume publikasi dan struktur kutipan, kontributor paling berpengaruh, serta memetakan struktur intelektual dan sosial dari domain riset ini. Data diambil dari sejumlah artikel terindeks di basis data Scopus dan dianalisis menggunakan perangkat lunak R-Studio.</w:t>
      </w:r>
      <w:r>
        <w:rPr>
          <w:rFonts w:ascii="Times New Roman" w:eastAsia="Times New Roman" w:hAnsi="Times New Roman" w:cs="Times New Roman"/>
          <w:lang w:val="nl-NL"/>
        </w:rPr>
        <w:t xml:space="preserve"> </w:t>
      </w:r>
      <w:r w:rsidRPr="00C36110">
        <w:rPr>
          <w:rFonts w:ascii="Times New Roman" w:eastAsia="Times New Roman" w:hAnsi="Times New Roman" w:cs="Times New Roman"/>
          <w:lang w:val="nl-NL"/>
        </w:rPr>
        <w:t>Temuan utama menunjukkan adanya peningkatan signifikan dalam jumlah publikasi dari tahun 2015 hingga 2025, merefleksikan tumbuhnya minat akademis dan kesadaran global terhadap isu keberlanjutan. Analisis mendalam mengungkapkan bahwa penelitian berfokus pada peran investasi hijau dalam mendukung transisi energi, mitigasi perubahan iklim, dan pertumbuhan ekonomi berkelanjutan. Partisipasi penelitian aktif datang dari negara-negara maju dan berkembang.</w:t>
      </w:r>
      <w:r>
        <w:rPr>
          <w:rFonts w:ascii="Times New Roman" w:eastAsia="Times New Roman" w:hAnsi="Times New Roman" w:cs="Times New Roman"/>
          <w:lang w:val="nl-NL"/>
        </w:rPr>
        <w:t xml:space="preserve"> </w:t>
      </w:r>
      <w:r w:rsidRPr="00C36110">
        <w:rPr>
          <w:rFonts w:ascii="Times New Roman" w:eastAsia="Times New Roman" w:hAnsi="Times New Roman" w:cs="Times New Roman"/>
          <w:lang w:val="nl-NL"/>
        </w:rPr>
        <w:t>Secara keseluruhan, studi ini berkontribusi dengan menyajikan gambaran komprehensif tentang lanskap penelitian investasi hijau, membantu peneliti, pembuat kebijakan, dan investor memahami dinamika riset global dan mengidentifikasi celah penelitian prospektif. Hasilnya memiliki implikasi kebijakan penting, menekankan perlunya kerangka kebijakan yang mendukung dan mendorong partisipasi sektor swasta dalam proyek-proyek berkelanjutan untuk mempercepat transisi menuju ekonomi rendah karbon dan pencapaian Tujuan Pembangunan Berkelanjutan (SDGs).</w:t>
      </w:r>
    </w:p>
    <w:p w14:paraId="696494E8" w14:textId="1C9E3A7F" w:rsidR="00762A1D" w:rsidRPr="00C72D16" w:rsidRDefault="00000000" w:rsidP="00C72D16">
      <w:pPr>
        <w:spacing w:before="240" w:after="240"/>
        <w:jc w:val="both"/>
        <w:rPr>
          <w:rFonts w:ascii="Times New Roman" w:eastAsia="Times New Roman" w:hAnsi="Times New Roman" w:cs="Times New Roman"/>
          <w:lang w:val="nl-NL"/>
        </w:rPr>
      </w:pPr>
      <w:r w:rsidRPr="008B0C98">
        <w:rPr>
          <w:rFonts w:ascii="Times New Roman" w:eastAsia="Times New Roman" w:hAnsi="Times New Roman" w:cs="Times New Roman"/>
          <w:b/>
          <w:lang w:val="nl-NL"/>
        </w:rPr>
        <w:t>Kata kunci:</w:t>
      </w:r>
      <w:r w:rsidRPr="008B0C98">
        <w:rPr>
          <w:rFonts w:ascii="Times New Roman" w:eastAsia="Times New Roman" w:hAnsi="Times New Roman" w:cs="Times New Roman"/>
          <w:lang w:val="nl-NL"/>
        </w:rPr>
        <w:t xml:space="preserve"> Investasi hijau, Analisis bibliometrik, Tren penelitian, Arah masa depan, Keberlanjutan, Keuangan berkelanjutan.</w:t>
      </w:r>
    </w:p>
    <w:p w14:paraId="52B1838A" w14:textId="77777777" w:rsidR="00762A1D" w:rsidRPr="008B0C98" w:rsidRDefault="00000000">
      <w:pPr>
        <w:jc w:val="both"/>
        <w:rPr>
          <w:rFonts w:ascii="Times New Roman" w:eastAsia="Times New Roman" w:hAnsi="Times New Roman" w:cs="Times New Roman"/>
          <w:lang w:val="nl-NL"/>
        </w:rPr>
      </w:pPr>
      <w:r w:rsidRPr="008B0C98">
        <w:rPr>
          <w:rFonts w:ascii="Times New Roman" w:eastAsia="Times New Roman" w:hAnsi="Times New Roman" w:cs="Times New Roman"/>
          <w:b/>
          <w:lang w:val="nl-NL"/>
        </w:rPr>
        <w:t>PENDAHULUAN</w:t>
      </w:r>
    </w:p>
    <w:p w14:paraId="7F101740" w14:textId="12D467C8" w:rsidR="00762A1D" w:rsidRDefault="00000000">
      <w:pPr>
        <w:jc w:val="both"/>
        <w:rPr>
          <w:rFonts w:ascii="Times New Roman" w:eastAsia="Times New Roman" w:hAnsi="Times New Roman" w:cs="Times New Roman"/>
          <w:lang w:val="nl-NL"/>
        </w:rPr>
      </w:pPr>
      <w:r w:rsidRPr="008B0C98">
        <w:rPr>
          <w:rFonts w:ascii="Times New Roman" w:eastAsia="Times New Roman" w:hAnsi="Times New Roman" w:cs="Times New Roman"/>
          <w:i/>
          <w:lang w:val="nl-NL"/>
        </w:rPr>
        <w:t xml:space="preserve">Paris Agreement </w:t>
      </w:r>
      <w:r w:rsidRPr="008B0C98">
        <w:rPr>
          <w:rFonts w:ascii="Times New Roman" w:eastAsia="Times New Roman" w:hAnsi="Times New Roman" w:cs="Times New Roman"/>
          <w:lang w:val="nl-NL"/>
        </w:rPr>
        <w:t>tahun 2015 merupakan momen penting dalam mendorong negara-negara untuk menghentikan kenaikan suhu global dan memperkuat komitmen mereka terhadap keuangan berkelanjutan dan energi terbarukan (</w:t>
      </w:r>
      <w:r w:rsidR="00867C72">
        <w:rPr>
          <w:rFonts w:ascii="Times New Roman" w:eastAsia="Times New Roman" w:hAnsi="Times New Roman" w:cs="Times New Roman"/>
          <w:lang w:val="nl-NL"/>
        </w:rPr>
        <w:fldChar w:fldCharType="begin" w:fldLock="1"/>
      </w:r>
      <w:r w:rsidR="00DD4A31">
        <w:rPr>
          <w:rFonts w:ascii="Times New Roman" w:eastAsia="Times New Roman" w:hAnsi="Times New Roman" w:cs="Times New Roman"/>
          <w:lang w:val="nl-NL"/>
        </w:rPr>
        <w:instrText>ADDIN CSL_CITATION {"citationItems":[{"id":"ITEM-1","itemData":{"DOI":"10.1177/18479790241231725","ISSN":"18479790","abstract":"The study inspects the seven sectors of the Association of Southeast Asian Nations (ASEAN) economies to explore the impact of consumption of clean energy, green bonds, and green economic advancement on environmental, social, and governance (ESG) practices to attain sustainable development goals (SDGs). The ESG aspects are individually explored from 2011 to 2020. It is observed that the key determinants of ESG practices are green economic advancement, clean energy, and green financing. Moreover, these determinants positively and significantly track the ASEAN economies toward attaining SDGs. The determinants play a vital role in sustainable advancement even when explored individually using different regression models. The linkages between the explanatory and outcome variables remain consistent after controlling other variables like climate regulatory quality, foreign direct investment, and gross domestic product. The study provides solid implications for stakeholders, environmental activists, and governments of ASEAN economies. The findings also infer sustainable business practices via creating an association between ESG practices, green economy, clean energy, and green financing.","author":[{"dropping-particle":"","family":"Phan","given":"Thuy Chung","non-dropping-particle":"","parse-names":false,"suffix":""}],"container-title":"International Journal of Engineering Business Management","id":"ITEM-1","issued":{"date-parts":[["2024"]]},"page":"1-12","title":"Impact of green investments, green economic growth and renewable energy consumption on environmental, social, and governance practices to achieve the sustainable development goals: A sectoral analysis in the ASEAN economies","type":"article-journal","volume":"16"},"uris":["http://www.mendeley.com/documents/?uuid=b662e3af-b473-4930-b632-a5c5eeef1dc7"]}],"mendeley":{"formattedCitation":"(Phan, 2024)","plainTextFormattedCitation":"(Phan, 2024)","previouslyFormattedCitation":"(Phan, 2024)"},"properties":{"noteIndex":0},"schema":"https://github.com/citation-style-language/schema/raw/master/csl-citation.json"}</w:instrText>
      </w:r>
      <w:r w:rsidR="00867C72">
        <w:rPr>
          <w:rFonts w:ascii="Times New Roman" w:eastAsia="Times New Roman" w:hAnsi="Times New Roman" w:cs="Times New Roman"/>
          <w:lang w:val="nl-NL"/>
        </w:rPr>
        <w:fldChar w:fldCharType="separate"/>
      </w:r>
      <w:r w:rsidR="00867C72" w:rsidRPr="00867C72">
        <w:rPr>
          <w:rFonts w:ascii="Times New Roman" w:eastAsia="Times New Roman" w:hAnsi="Times New Roman" w:cs="Times New Roman"/>
          <w:noProof/>
          <w:lang w:val="nl-NL"/>
        </w:rPr>
        <w:t>(Phan, 2024)</w:t>
      </w:r>
      <w:r w:rsidR="00867C72">
        <w:rPr>
          <w:rFonts w:ascii="Times New Roman" w:eastAsia="Times New Roman" w:hAnsi="Times New Roman" w:cs="Times New Roman"/>
          <w:lang w:val="nl-NL"/>
        </w:rPr>
        <w:fldChar w:fldCharType="end"/>
      </w:r>
      <w:r w:rsidRPr="008B0C98">
        <w:rPr>
          <w:rFonts w:ascii="Times New Roman" w:eastAsia="Times New Roman" w:hAnsi="Times New Roman" w:cs="Times New Roman"/>
          <w:lang w:val="nl-NL"/>
        </w:rPr>
        <w:t xml:space="preserve">; </w:t>
      </w:r>
      <w:r w:rsidR="004656FC">
        <w:rPr>
          <w:rFonts w:ascii="Times New Roman" w:eastAsia="Times New Roman" w:hAnsi="Times New Roman" w:cs="Times New Roman"/>
          <w:lang w:val="nl-NL"/>
        </w:rPr>
        <w:fldChar w:fldCharType="begin" w:fldLock="1"/>
      </w:r>
      <w:r w:rsidR="004656FC">
        <w:rPr>
          <w:rFonts w:ascii="Times New Roman" w:eastAsia="Times New Roman" w:hAnsi="Times New Roman" w:cs="Times New Roman"/>
          <w:lang w:val="nl-NL"/>
        </w:rPr>
        <w:instrText>ADDIN CSL_CITATION {"citationItems":[{"id":"ITEM-1","itemData":{"DOI":"10.1002/ijfe.3048","ISSN":"10991158","abstract":"This research investigates the interplay between sustainable finance, energy policies, and environmental outcomes in OECD countries from 2005 to 2018. Recognising the pivotal role of OECD countries in global sustainability efforts, this study focuses on Australia, Belgium, Denmark, Germany, Japan, Norway, Portugal, Spain, Sweden, and Switzerland. Within this framework, the key independent variables are climate finance, renewable energy, financial inclusion, energy intensity, and economic growth, and the load capacity factor and CO2 emissions are dependent variables. The current analysis was carried out by employing econometric techniques, such as the panel mean group autoregressive distributed lag (PMG-ARDL) model, the Arellano-Bond test, random effects modelling, and ordinary least squares (OLS) modelling, due to the panel sample format of the data. The empirical results from the initial model focusing on the load capacity factor indicate that economic growth, energy intensity, financial inclusion, and renewable energy consumption positively contribute to the load capacity factor in OECD countries. Notably, climate finance was observed to diminish the load capacity factor within this model. In the subsequent model, examining CO2 emissions as the dependent variable, the findings reveal that all variables, except renewable energy consumption, exhibit a positive and statistically significant influence on CO2 emissions.","author":[{"dropping-particle":"","family":"Tekin","given":"Bilgehan","non-dropping-particle":"","parse-names":false,"suffix":""},{"dropping-particle":"","family":"Dirir","given":"Sadik Aden","non-dropping-particle":"","parse-names":false,"suffix":""},{"dropping-particle":"","family":"Aden","given":"Kadir","non-dropping-particle":"","parse-names":false,"suffix":""}],"container-title":"International Journal of Finance and Economics","id":"ITEM-1","issue":"3","issued":{"date-parts":[["2025"]]},"page":"2883-2911","title":"Integrating sustainable finance into energy policies: A comprehensive study on the influence of green investments on energy performance in OECD nations","type":"article-journal","volume":"30"},"uris":["http://www.mendeley.com/documents/?uuid=2e0bc5f6-f2a2-4e11-98b3-fc343ca14a6a"]}],"mendeley":{"formattedCitation":"(Tekin et al., 2025)","plainTextFormattedCitation":"(Tekin et al., 2025)","previouslyFormattedCitation":"(Tekin et al., 2025)"},"properties":{"noteIndex":0},"schema":"https://github.com/citation-style-language/schema/raw/master/csl-citation.json"}</w:instrText>
      </w:r>
      <w:r w:rsidR="004656FC">
        <w:rPr>
          <w:rFonts w:ascii="Times New Roman" w:eastAsia="Times New Roman" w:hAnsi="Times New Roman" w:cs="Times New Roman"/>
          <w:lang w:val="nl-NL"/>
        </w:rPr>
        <w:fldChar w:fldCharType="separate"/>
      </w:r>
      <w:r w:rsidR="004656FC" w:rsidRPr="004656FC">
        <w:rPr>
          <w:rFonts w:ascii="Times New Roman" w:eastAsia="Times New Roman" w:hAnsi="Times New Roman" w:cs="Times New Roman"/>
          <w:noProof/>
          <w:lang w:val="nl-NL"/>
        </w:rPr>
        <w:t>(Tekin et al., 2025)</w:t>
      </w:r>
      <w:r w:rsidR="004656FC">
        <w:rPr>
          <w:rFonts w:ascii="Times New Roman" w:eastAsia="Times New Roman" w:hAnsi="Times New Roman" w:cs="Times New Roman"/>
          <w:lang w:val="nl-NL"/>
        </w:rPr>
        <w:fldChar w:fldCharType="end"/>
      </w:r>
      <w:r w:rsidR="004656FC">
        <w:rPr>
          <w:rFonts w:ascii="Times New Roman" w:eastAsia="Times New Roman" w:hAnsi="Times New Roman" w:cs="Times New Roman"/>
          <w:lang w:val="nl-NL"/>
        </w:rPr>
        <w:t xml:space="preserve">. </w:t>
      </w:r>
      <w:r w:rsidRPr="008B0C98">
        <w:rPr>
          <w:rFonts w:ascii="Times New Roman" w:eastAsia="Times New Roman" w:hAnsi="Times New Roman" w:cs="Times New Roman"/>
          <w:lang w:val="nl-NL"/>
        </w:rPr>
        <w:t>Kesepakatan ini menegaskan bahwa penurunan emisi sangat penting dan mendorong investasi global untuk beralih ke instrumen yang lebih ramah lingkungan, seperti investasi hijau dan obligasi hijau.</w:t>
      </w:r>
    </w:p>
    <w:p w14:paraId="76BB96CD" w14:textId="5F992900" w:rsidR="00867C72" w:rsidRPr="008B0C98" w:rsidRDefault="00867C72">
      <w:pPr>
        <w:jc w:val="both"/>
        <w:rPr>
          <w:rFonts w:ascii="Times New Roman" w:eastAsia="Times New Roman" w:hAnsi="Times New Roman" w:cs="Times New Roman"/>
          <w:lang w:val="nl-NL"/>
        </w:rPr>
      </w:pPr>
      <w:r>
        <w:rPr>
          <w:rFonts w:ascii="Times New Roman" w:eastAsia="Times New Roman" w:hAnsi="Times New Roman" w:cs="Times New Roman"/>
          <w:lang w:val="nl-NL"/>
        </w:rPr>
        <w:t>I</w:t>
      </w:r>
      <w:r w:rsidRPr="00867C72">
        <w:rPr>
          <w:rFonts w:ascii="Times New Roman" w:eastAsia="Times New Roman" w:hAnsi="Times New Roman" w:cs="Times New Roman"/>
          <w:lang w:val="nl-NL"/>
        </w:rPr>
        <w:t>nvestasi Hijau merupakan elemen penting dalam transisi menuju ekonomi berkelanjutan, dengan fokus pada teknologi ramah lingkungan, praktik berkelanjutan, dan konservasi sumber daya alam</w:t>
      </w:r>
      <w:r w:rsidR="00DD4A31">
        <w:rPr>
          <w:rFonts w:ascii="Times New Roman" w:eastAsia="Times New Roman" w:hAnsi="Times New Roman" w:cs="Times New Roman"/>
          <w:lang w:val="nl-NL"/>
        </w:rPr>
        <w:t xml:space="preserve"> </w:t>
      </w:r>
      <w:r w:rsidR="00DD4A31">
        <w:rPr>
          <w:rFonts w:ascii="Times New Roman" w:eastAsia="Times New Roman" w:hAnsi="Times New Roman" w:cs="Times New Roman"/>
          <w:lang w:val="nl-NL"/>
        </w:rPr>
        <w:fldChar w:fldCharType="begin" w:fldLock="1"/>
      </w:r>
      <w:r w:rsidR="00DD4A31">
        <w:rPr>
          <w:rFonts w:ascii="Times New Roman" w:eastAsia="Times New Roman" w:hAnsi="Times New Roman" w:cs="Times New Roman"/>
          <w:lang w:val="nl-NL"/>
        </w:rPr>
        <w:instrText>ADDIN CSL_CITATION {"citationItems":[{"id":"ITEM-1","itemData":{"abstract":"The article provides a justification for the process of forming the vector of development of the Green Economy, identifies the features of Green Investments in the modern economy. Green investment is the allocation of financial capital to projects or companies that focuses primarily on environmentally friendly technologies, sustainable practices, and natural resource conservation. The purpose of green investments is to develop the Green Economy, to support businesses that contribute to environmental protection while generating profits for investors. \"Green investments play a crucial role in the transition to the Green Economy and are the basis for combating climate change and implementing sustainable development practices.The authors detail the factors of capital flows in the context of innovations in the Green Economy. External factors are political, geographical, social, and natural. The article characterizes market instruments of green investments. Among the market instruments, the following are identified: green bonds, green mutual funds, exchange-traded funds, green private equity and venture capital, impact investing, carbon credits and compensation. The authors determines the prospects for innovative green economy projects. It is determined that green investments have great potential for obtaining long-term economic, social and environmental benefits, in particular, reducing carbon emissions and increasing resource efficiency","author":[{"dropping-particle":"","family":"Igor","given":"Sazonets","non-dropping-particle":"","parse-names":false,"suffix":""},{"dropping-particle":"","family":"Nataliia","given":"Yakovlieva-melnyk","non-dropping-particle":"","parse-names":false,"suffix":""},{"dropping-particle":"","family":"Andrey","given":"Salenko","non-dropping-particle":"","parse-names":false,"suffix":""}],"container-title":"BIO Web of Conferences","id":"ITEM-1","issued":{"date-parts":[["2024"]]},"page":"1-6","title":"Conceptual foundations of the movement of innovative capital in conditions of priority development of the \"green\" economy","type":"article-journal","volume":"01033"},"uris":["http://www.mendeley.com/documents/?uuid=be99dff0-9770-44d9-9dc6-32da214c5477"]}],"mendeley":{"formattedCitation":"(Igor et al., 2024)","plainTextFormattedCitation":"(Igor et al., 2024)","previouslyFormattedCitation":"(Igor et al., 2024)"},"properties":{"noteIndex":0},"schema":"https://github.com/citation-style-language/schema/raw/master/csl-citation.json"}</w:instrText>
      </w:r>
      <w:r w:rsidR="00DD4A31">
        <w:rPr>
          <w:rFonts w:ascii="Times New Roman" w:eastAsia="Times New Roman" w:hAnsi="Times New Roman" w:cs="Times New Roman"/>
          <w:lang w:val="nl-NL"/>
        </w:rPr>
        <w:fldChar w:fldCharType="separate"/>
      </w:r>
      <w:r w:rsidR="00DD4A31" w:rsidRPr="00DD4A31">
        <w:rPr>
          <w:rFonts w:ascii="Times New Roman" w:eastAsia="Times New Roman" w:hAnsi="Times New Roman" w:cs="Times New Roman"/>
          <w:noProof/>
          <w:lang w:val="nl-NL"/>
        </w:rPr>
        <w:t>(Igor et al., 2024)</w:t>
      </w:r>
      <w:r w:rsidR="00DD4A31">
        <w:rPr>
          <w:rFonts w:ascii="Times New Roman" w:eastAsia="Times New Roman" w:hAnsi="Times New Roman" w:cs="Times New Roman"/>
          <w:lang w:val="nl-NL"/>
        </w:rPr>
        <w:fldChar w:fldCharType="end"/>
      </w:r>
      <w:r w:rsidRPr="00867C72">
        <w:rPr>
          <w:rFonts w:ascii="Times New Roman" w:eastAsia="Times New Roman" w:hAnsi="Times New Roman" w:cs="Times New Roman"/>
          <w:lang w:val="nl-NL"/>
        </w:rPr>
        <w:t>. Investasi hijau berperan krusial dalam memerangi perubahan iklim, mengurangi emisi karbon, dan mendorong stabilitas ekonomi</w:t>
      </w:r>
      <w:r w:rsidR="00DD4A31">
        <w:rPr>
          <w:rFonts w:ascii="Times New Roman" w:eastAsia="Times New Roman" w:hAnsi="Times New Roman" w:cs="Times New Roman"/>
          <w:lang w:val="nl-NL"/>
        </w:rPr>
        <w:t xml:space="preserve"> </w:t>
      </w:r>
      <w:r w:rsidR="00DD4A31">
        <w:rPr>
          <w:rFonts w:ascii="Times New Roman" w:eastAsia="Times New Roman" w:hAnsi="Times New Roman" w:cs="Times New Roman"/>
          <w:lang w:val="nl-NL"/>
        </w:rPr>
        <w:fldChar w:fldCharType="begin" w:fldLock="1"/>
      </w:r>
      <w:r w:rsidR="00DD4A31">
        <w:rPr>
          <w:rFonts w:ascii="Times New Roman" w:eastAsia="Times New Roman" w:hAnsi="Times New Roman" w:cs="Times New Roman"/>
          <w:lang w:val="nl-NL"/>
        </w:rPr>
        <w:instrText>ADDIN CSL_CITATION {"citationItems":[{"id":"ITEM-1","itemData":{"DOI":"10.1109/SIBF63788.2024.10883837","ISBN":" VO  -","author":[{"dropping-particle":"El","family":"Dessouky","given":"N F","non-dropping-particle":"","parse-names":false,"suffix":""}],"container-title":"2024 International Conference on Sustainable Islamic Business and Finance (SIBF)","id":"ITEM-1","issued":{"date-parts":[["2024"]]},"page":"1-4","title":"Green Finance for Sustainable Development Policy: Pathway to Environmental, Economic and Social Resilience","type":"paper-conference"},"uris":["http://www.mendeley.com/documents/?uuid=f5b575ec-8b50-471d-9f88-1c3142a4d432"]}],"mendeley":{"formattedCitation":"(Dessouky, 2024)","plainTextFormattedCitation":"(Dessouky, 2024)","previouslyFormattedCitation":"(Dessouky, 2024)"},"properties":{"noteIndex":0},"schema":"https://github.com/citation-style-language/schema/raw/master/csl-citation.json"}</w:instrText>
      </w:r>
      <w:r w:rsidR="00DD4A31">
        <w:rPr>
          <w:rFonts w:ascii="Times New Roman" w:eastAsia="Times New Roman" w:hAnsi="Times New Roman" w:cs="Times New Roman"/>
          <w:lang w:val="nl-NL"/>
        </w:rPr>
        <w:fldChar w:fldCharType="separate"/>
      </w:r>
      <w:r w:rsidR="00DD4A31" w:rsidRPr="00DD4A31">
        <w:rPr>
          <w:rFonts w:ascii="Times New Roman" w:eastAsia="Times New Roman" w:hAnsi="Times New Roman" w:cs="Times New Roman"/>
          <w:noProof/>
          <w:lang w:val="nl-NL"/>
        </w:rPr>
        <w:t>(Dessouky, 2024)</w:t>
      </w:r>
      <w:r w:rsidR="00DD4A31">
        <w:rPr>
          <w:rFonts w:ascii="Times New Roman" w:eastAsia="Times New Roman" w:hAnsi="Times New Roman" w:cs="Times New Roman"/>
          <w:lang w:val="nl-NL"/>
        </w:rPr>
        <w:fldChar w:fldCharType="end"/>
      </w:r>
      <w:r w:rsidR="00DD4A31">
        <w:rPr>
          <w:rFonts w:ascii="Times New Roman" w:eastAsia="Times New Roman" w:hAnsi="Times New Roman" w:cs="Times New Roman"/>
          <w:lang w:val="nl-NL"/>
        </w:rPr>
        <w:t xml:space="preserve">. </w:t>
      </w:r>
      <w:r w:rsidRPr="00867C72">
        <w:rPr>
          <w:rFonts w:ascii="Times New Roman" w:eastAsia="Times New Roman" w:hAnsi="Times New Roman" w:cs="Times New Roman"/>
          <w:lang w:val="nl-NL"/>
        </w:rPr>
        <w:t>Konsep investasi hijau mencakup berbagai instrumen keuangan seperti obligasi hijau, reksa dana hijau, dan investasi berdampak, yang dirancang untuk mendukung proyek-proyek yang berkontribusi terhadap perlindungan lingkungan sekaligus menghasilkan keuntungan bagi investor</w:t>
      </w:r>
      <w:r w:rsidR="00DD4A31">
        <w:rPr>
          <w:rFonts w:ascii="Times New Roman" w:eastAsia="Times New Roman" w:hAnsi="Times New Roman" w:cs="Times New Roman"/>
          <w:lang w:val="nl-NL"/>
        </w:rPr>
        <w:t xml:space="preserve"> </w:t>
      </w:r>
      <w:r w:rsidR="00DD4A31">
        <w:rPr>
          <w:rFonts w:ascii="Times New Roman" w:eastAsia="Times New Roman" w:hAnsi="Times New Roman" w:cs="Times New Roman"/>
          <w:lang w:val="nl-NL"/>
        </w:rPr>
        <w:fldChar w:fldCharType="begin" w:fldLock="1"/>
      </w:r>
      <w:r w:rsidR="00DD4A31">
        <w:rPr>
          <w:rFonts w:ascii="Times New Roman" w:eastAsia="Times New Roman" w:hAnsi="Times New Roman" w:cs="Times New Roman"/>
          <w:lang w:val="nl-NL"/>
        </w:rPr>
        <w:instrText>ADDIN CSL_CITATION {"citationItems":[{"id":"ITEM-1","itemData":{"abstract":"The article provides a justification for the process of forming the vector of development of the Green Economy, identifies the features of Green Investments in the modern economy. Green investment is the allocation of financial capital to projects or companies that focuses primarily on environmentally friendly technologies, sustainable practices, and natural resource conservation. The purpose of green investments is to develop the Green Economy, to support businesses that contribute to environmental protection while generating profits for investors. \"Green investments play a crucial role in the transition to the Green Economy and are the basis for combating climate change and implementing sustainable development practices.The authors detail the factors of capital flows in the context of innovations in the Green Economy. External factors are political, geographical, social, and natural. The article characterizes market instruments of green investments. Among the market instruments, the following are identified: green bonds, green mutual funds, exchange-traded funds, green private equity and venture capital, impact investing, carbon credits and compensation. The authors determines the prospects for innovative green economy projects. It is determined that green investments have great potential for obtaining long-term economic, social and environmental benefits, in particular, reducing carbon emissions and increasing resource efficiency","author":[{"dropping-particle":"","family":"Igor","given":"Sazonets","non-dropping-particle":"","parse-names":false,"suffix":""},{"dropping-particle":"","family":"Nataliia","given":"Yakovlieva-melnyk","non-dropping-particle":"","parse-names":false,"suffix":""},{"dropping-particle":"","family":"Andrey","given":"Salenko","non-dropping-particle":"","parse-names":false,"suffix":""}],"container-title":"BIO Web of Conferences","id":"ITEM-1","issued":{"date-parts":[["2024"]]},"page":"1-6","title":"Conceptual foundations of the movement of innovative capital in conditions of priority development of the \"green\" economy","type":"article-journal","volume":"01033"},"uris":["http://www.mendeley.com/documents/?uuid=be99dff0-9770-44d9-9dc6-32da214c5477"]}],"mendeley":{"formattedCitation":"(Igor et al., 2024)","plainTextFormattedCitation":"(Igor et al., 2024)","previouslyFormattedCitation":"(Igor et al., 2024)"},"properties":{"noteIndex":0},"schema":"https://github.com/citation-style-language/schema/raw/master/csl-citation.json"}</w:instrText>
      </w:r>
      <w:r w:rsidR="00DD4A31">
        <w:rPr>
          <w:rFonts w:ascii="Times New Roman" w:eastAsia="Times New Roman" w:hAnsi="Times New Roman" w:cs="Times New Roman"/>
          <w:lang w:val="nl-NL"/>
        </w:rPr>
        <w:fldChar w:fldCharType="separate"/>
      </w:r>
      <w:r w:rsidR="00DD4A31" w:rsidRPr="00DD4A31">
        <w:rPr>
          <w:rFonts w:ascii="Times New Roman" w:eastAsia="Times New Roman" w:hAnsi="Times New Roman" w:cs="Times New Roman"/>
          <w:noProof/>
          <w:lang w:val="nl-NL"/>
        </w:rPr>
        <w:t>(Igor et al., 2024)</w:t>
      </w:r>
      <w:r w:rsidR="00DD4A31">
        <w:rPr>
          <w:rFonts w:ascii="Times New Roman" w:eastAsia="Times New Roman" w:hAnsi="Times New Roman" w:cs="Times New Roman"/>
          <w:lang w:val="nl-NL"/>
        </w:rPr>
        <w:fldChar w:fldCharType="end"/>
      </w:r>
      <w:r w:rsidR="00DD4A31">
        <w:rPr>
          <w:rFonts w:ascii="Times New Roman" w:eastAsia="Times New Roman" w:hAnsi="Times New Roman" w:cs="Times New Roman"/>
          <w:lang w:val="nl-NL"/>
        </w:rPr>
        <w:t xml:space="preserve">. </w:t>
      </w:r>
    </w:p>
    <w:p w14:paraId="1ACD18B8" w14:textId="389C40C4" w:rsidR="00762A1D" w:rsidRPr="008B0C98" w:rsidRDefault="00000000" w:rsidP="007F699A">
      <w:pPr>
        <w:jc w:val="both"/>
        <w:rPr>
          <w:rFonts w:ascii="Times New Roman" w:eastAsia="Times New Roman" w:hAnsi="Times New Roman" w:cs="Times New Roman"/>
          <w:lang w:val="nl-NL"/>
        </w:rPr>
      </w:pPr>
      <w:r w:rsidRPr="008B0C98">
        <w:rPr>
          <w:rFonts w:ascii="Times New Roman" w:eastAsia="Times New Roman" w:hAnsi="Times New Roman" w:cs="Times New Roman"/>
          <w:lang w:val="nl-NL"/>
        </w:rPr>
        <w:t xml:space="preserve">Studi-studi terdahulu membuktikan bahwa investasi hijau adalah alat yang efektif untuk mencapai keberlanjutan. Menurut penelitian, investasi hijau memiliki potensi untuk </w:t>
      </w:r>
      <w:r w:rsidRPr="008B0C98">
        <w:rPr>
          <w:rFonts w:ascii="Times New Roman" w:eastAsia="Times New Roman" w:hAnsi="Times New Roman" w:cs="Times New Roman"/>
          <w:lang w:val="nl-NL"/>
        </w:rPr>
        <w:lastRenderedPageBreak/>
        <w:t xml:space="preserve">meningkatkan kinerja lingkungan perusahaan, mendorong inovasi yang ramah lingkungan </w:t>
      </w:r>
      <w:r w:rsidR="00CB1162">
        <w:rPr>
          <w:rFonts w:ascii="Times New Roman" w:eastAsia="Times New Roman" w:hAnsi="Times New Roman" w:cs="Times New Roman"/>
          <w:lang w:val="nl-NL"/>
        </w:rPr>
        <w:fldChar w:fldCharType="begin" w:fldLock="1"/>
      </w:r>
      <w:r w:rsidR="00CB1162">
        <w:rPr>
          <w:rFonts w:ascii="Times New Roman" w:eastAsia="Times New Roman" w:hAnsi="Times New Roman" w:cs="Times New Roman"/>
          <w:lang w:val="nl-NL"/>
        </w:rPr>
        <w:instrText>ADDIN CSL_CITATION {"citationItems":[{"id":"ITEM-1","itemData":{"DOI":"10.5755/j01.ee.34.1.32159","ISSN":"20295839","abstract":"Recently, sustainable development is demanded to be a compulsory requirement by international communities due to environmental and economic instability, hence, encouraging scholars to explore various approaches through which countries could achieve it. In this lieu, the present article explores the concept of green investment, eco-innovation, and financial inclusion and their effectiveness on sustainable development in the context of China. The article has extracted the data from secondary sources like Organization for Economic Co-operation and Development (OECD), Bloomberg, and World Development Indicators (WDI) from 1991 to 2020. The study has applied the Bayesian Auto-regressive Distributed Lags (BARDL) model to check the association between the understudy constructs. The results exposed that the green investment, eco-innovation index, R&amp;D expenditures, commercial bank branches, commercial bank depositors, and commercial bank borrowers have a positive and significant linkage with sustainable development (human development index) in China. The study guides policymakers in developing policies to enhance sustainable development using green investment, eco-innovation, and financial inclusion.","author":[{"dropping-particle":"","family":"Chien","given":"Fengsheng","non-dropping-particle":"","parse-names":false,"suffix":""}],"container-title":"Engineering Economics","id":"ITEM-1","issue":"1","issued":{"date-parts":[["2023"]]},"page":"17-31","title":"The Impact of Green Investment, Eco-Innovation, and Financial Inclusion on Sustainable Development: Evidence from China","type":"article-journal","volume":"34"},"uris":["http://www.mendeley.com/documents/?uuid=c82843fe-c6cf-4145-b5c9-58cf5ad7ca0b"]}],"mendeley":{"formattedCitation":"(Chien, 2023)","plainTextFormattedCitation":"(Chien, 2023)","previouslyFormattedCitation":"(Chien, 2023)"},"properties":{"noteIndex":0},"schema":"https://github.com/citation-style-language/schema/raw/master/csl-citation.json"}</w:instrText>
      </w:r>
      <w:r w:rsidR="00CB1162">
        <w:rPr>
          <w:rFonts w:ascii="Times New Roman" w:eastAsia="Times New Roman" w:hAnsi="Times New Roman" w:cs="Times New Roman"/>
          <w:lang w:val="nl-NL"/>
        </w:rPr>
        <w:fldChar w:fldCharType="separate"/>
      </w:r>
      <w:r w:rsidR="00CB1162" w:rsidRPr="00CB1162">
        <w:rPr>
          <w:rFonts w:ascii="Times New Roman" w:eastAsia="Times New Roman" w:hAnsi="Times New Roman" w:cs="Times New Roman"/>
          <w:noProof/>
          <w:lang w:val="nl-NL"/>
        </w:rPr>
        <w:t>(Chien, 2023)</w:t>
      </w:r>
      <w:r w:rsidR="00CB1162">
        <w:rPr>
          <w:rFonts w:ascii="Times New Roman" w:eastAsia="Times New Roman" w:hAnsi="Times New Roman" w:cs="Times New Roman"/>
          <w:lang w:val="nl-NL"/>
        </w:rPr>
        <w:fldChar w:fldCharType="end"/>
      </w:r>
      <w:r w:rsidR="00CB1162">
        <w:rPr>
          <w:rFonts w:ascii="Times New Roman" w:eastAsia="Times New Roman" w:hAnsi="Times New Roman" w:cs="Times New Roman"/>
          <w:lang w:val="nl-NL"/>
        </w:rPr>
        <w:t xml:space="preserve">, </w:t>
      </w:r>
      <w:r w:rsidRPr="008B0C98">
        <w:rPr>
          <w:rFonts w:ascii="Times New Roman" w:eastAsia="Times New Roman" w:hAnsi="Times New Roman" w:cs="Times New Roman"/>
          <w:lang w:val="nl-NL"/>
        </w:rPr>
        <w:t xml:space="preserve">dan mendorong pemangku kepentingan untuk lebih terlibat dalam praktik keberlanjutan </w:t>
      </w:r>
      <w:r w:rsidR="00CB1162">
        <w:rPr>
          <w:rFonts w:ascii="Times New Roman" w:eastAsia="Times New Roman" w:hAnsi="Times New Roman" w:cs="Times New Roman"/>
          <w:lang w:val="nl-NL"/>
        </w:rPr>
        <w:fldChar w:fldCharType="begin" w:fldLock="1"/>
      </w:r>
      <w:r w:rsidR="00CB1162">
        <w:rPr>
          <w:rFonts w:ascii="Times New Roman" w:eastAsia="Times New Roman" w:hAnsi="Times New Roman" w:cs="Times New Roman"/>
          <w:lang w:val="nl-NL"/>
        </w:rPr>
        <w:instrText>ADDIN CSL_CITATION {"citationItems":[{"id":"ITEM-1","itemData":{"DOI":"10.47836/pjssh.30.1.14","ISSN":"22318534","abstract":"This study investigates the sway of stakeholder integration and green investment on Environmental Sustainability Practices (ESP), as well as the moderating role of Green Technology Adoption (GTA) in Bangladesh Textile small and medium enterprises (SMEs). A questionnaire has been used to collect data from 140 textile SMEs and analysed using the quantitative survey method. The findings have revealed that Buyer Pressure (BP), Governmental regulations (GR), and Green Investment (GI) have significant effects on ESP, but not Supplier pressure (SP). The study has also evidenced the insignificant moderating influence of GTA on the relationships among BP, GR, GI, except SP. This study makes a conceptual contribution by highlighting the relationships among these constructs and confirming the lack of stakeholder integration. The findings of the research extend the understanding and comprehensiveness of Stakeholder theory (ST) and Transaction Cost Economics (TCE) theory by providing empirical insights from the firm level. Consequently, the outcomes promote environmental practices and offer food for thought for policymakers, compliance managers, entrepreneurs, and relevant stakeholders.","author":[{"dropping-particle":"","family":"Hossain","given":"Mohammad Imtiaz","non-dropping-particle":"","parse-names":false,"suffix":""},{"dropping-particle":"","family":"Ong","given":"Tze San","non-dropping-particle":"","parse-names":false,"suffix":""},{"dropping-particle":"","family":"Teh","given":"Boon Heng","non-dropping-particle":"","parse-names":false,"suffix":""},{"dropping-particle":"","family":"Said","given":"Ridzwana Mohd","non-dropping-particle":"","parse-names":false,"suffix":""},{"dropping-particle":"","family":"Siow","given":"May Ling","non-dropping-particle":"","parse-names":false,"suffix":""}],"container-title":"Pertanika Journal of Social Sciences and Humanities","id":"ITEM-1","issue":"1","issued":{"date-parts":[["2022"]]},"page":"253-281","title":"Nexus of Stakeholder Integration, Green Investment, Green Technology Adoption and Environmental Sustainability Practices: Evidence from Bangladesh Textile SMEs","type":"article-journal","volume":"30"},"uris":["http://www.mendeley.com/documents/?uuid=f4122682-55b8-42e5-83d9-01c0ea319492"]}],"mendeley":{"formattedCitation":"(Hossain et al., 2022)","plainTextFormattedCitation":"(Hossain et al., 2022)","previouslyFormattedCitation":"(Hossain et al., 2022)"},"properties":{"noteIndex":0},"schema":"https://github.com/citation-style-language/schema/raw/master/csl-citation.json"}</w:instrText>
      </w:r>
      <w:r w:rsidR="00CB1162">
        <w:rPr>
          <w:rFonts w:ascii="Times New Roman" w:eastAsia="Times New Roman" w:hAnsi="Times New Roman" w:cs="Times New Roman"/>
          <w:lang w:val="nl-NL"/>
        </w:rPr>
        <w:fldChar w:fldCharType="separate"/>
      </w:r>
      <w:r w:rsidR="00CB1162" w:rsidRPr="00CB1162">
        <w:rPr>
          <w:rFonts w:ascii="Times New Roman" w:eastAsia="Times New Roman" w:hAnsi="Times New Roman" w:cs="Times New Roman"/>
          <w:noProof/>
          <w:lang w:val="nl-NL"/>
        </w:rPr>
        <w:t>(Hossain et al., 2022)</w:t>
      </w:r>
      <w:r w:rsidR="00CB1162">
        <w:rPr>
          <w:rFonts w:ascii="Times New Roman" w:eastAsia="Times New Roman" w:hAnsi="Times New Roman" w:cs="Times New Roman"/>
          <w:lang w:val="nl-NL"/>
        </w:rPr>
        <w:fldChar w:fldCharType="end"/>
      </w:r>
      <w:r w:rsidR="00CB1162">
        <w:rPr>
          <w:rFonts w:ascii="Times New Roman" w:eastAsia="Times New Roman" w:hAnsi="Times New Roman" w:cs="Times New Roman"/>
          <w:lang w:val="nl-NL"/>
        </w:rPr>
        <w:t xml:space="preserve">. </w:t>
      </w:r>
      <w:r w:rsidRPr="008B0C98">
        <w:rPr>
          <w:rFonts w:ascii="Times New Roman" w:eastAsia="Times New Roman" w:hAnsi="Times New Roman" w:cs="Times New Roman"/>
          <w:lang w:val="nl-NL"/>
        </w:rPr>
        <w:t xml:space="preserve">Selain itu, telah terbukti bahwa penggabungan investasi hijau dengan CSR meningkatkan tiga bottom line perusahaan </w:t>
      </w:r>
      <w:r w:rsidR="00DE42A6">
        <w:rPr>
          <w:rFonts w:ascii="Times New Roman" w:eastAsia="Times New Roman" w:hAnsi="Times New Roman" w:cs="Times New Roman"/>
          <w:lang w:val="nl-NL"/>
        </w:rPr>
        <w:fldChar w:fldCharType="begin" w:fldLock="1"/>
      </w:r>
      <w:r w:rsidR="007F699A">
        <w:rPr>
          <w:rFonts w:ascii="Times New Roman" w:eastAsia="Times New Roman" w:hAnsi="Times New Roman" w:cs="Times New Roman"/>
          <w:lang w:val="nl-NL"/>
        </w:rPr>
        <w:instrText>ADDIN CSL_CITATION {"citationItems":[{"id":"ITEM-1","itemData":{"DOI":"10.1080/23311975.2021.1960120","ISSN":"23311975","abstract":"Studies on green investment and corporate social responsibility (CSR) investment has been conducted by some researchers in the current and future trends of sustainable development. Many of them have focused on the relationship between CSR and financial performance, but only a few have examined how green investment, CSR investment, and sustainability are related to each other. Sustainable performance is based on three aspects: people-planet-profit, or also what is known as the triple bottom line concept. The sample for this study consisted of 132 manufacturing companies listed in the Indonesia Stock Exchange from 2016 to 2019. This study found that green investment and CSR investment positively affect financial performance and sustainable performance. Meanwhile, the financial performance has an insignificant effect on sustainable performance. Besides, financial performance cannot mediate the effect between green investment and CSR investment on sustainable performance.","author":[{"dropping-particle":"","family":"Indriastuti","given":"Maya","non-dropping-particle":"","parse-names":false,"suffix":""},{"dropping-particle":"","family":"Chariri","given":"Anis","non-dropping-particle":"","parse-names":false,"suffix":""}],"container-title":"Cogent Business and Management","id":"ITEM-1","issue":"1","issued":{"date-parts":[["2021"]]},"title":"The role of green investment and corporate social responsibility investment on sustainable performance","type":"article-journal","volume":"8"},"uris":["http://www.mendeley.com/documents/?uuid=22a3bd10-c39f-4f7f-ba29-0e4a12ee3de5"]}],"mendeley":{"formattedCitation":"(Indriastuti &amp; Chariri, 2021)","plainTextFormattedCitation":"(Indriastuti &amp; Chariri, 2021)","previouslyFormattedCitation":"(Indriastuti &amp; Chariri, 2021)"},"properties":{"noteIndex":0},"schema":"https://github.com/citation-style-language/schema/raw/master/csl-citation.json"}</w:instrText>
      </w:r>
      <w:r w:rsidR="00DE42A6">
        <w:rPr>
          <w:rFonts w:ascii="Times New Roman" w:eastAsia="Times New Roman" w:hAnsi="Times New Roman" w:cs="Times New Roman"/>
          <w:lang w:val="nl-NL"/>
        </w:rPr>
        <w:fldChar w:fldCharType="separate"/>
      </w:r>
      <w:r w:rsidR="00DE42A6" w:rsidRPr="00DE42A6">
        <w:rPr>
          <w:rFonts w:ascii="Times New Roman" w:eastAsia="Times New Roman" w:hAnsi="Times New Roman" w:cs="Times New Roman"/>
          <w:noProof/>
          <w:lang w:val="nl-NL"/>
        </w:rPr>
        <w:t>(Indriastuti &amp; Chariri, 2021)</w:t>
      </w:r>
      <w:r w:rsidR="00DE42A6">
        <w:rPr>
          <w:rFonts w:ascii="Times New Roman" w:eastAsia="Times New Roman" w:hAnsi="Times New Roman" w:cs="Times New Roman"/>
          <w:lang w:val="nl-NL"/>
        </w:rPr>
        <w:fldChar w:fldCharType="end"/>
      </w:r>
      <w:r w:rsidR="00DE42A6">
        <w:rPr>
          <w:rFonts w:ascii="Times New Roman" w:eastAsia="Times New Roman" w:hAnsi="Times New Roman" w:cs="Times New Roman"/>
          <w:lang w:val="nl-NL"/>
        </w:rPr>
        <w:t xml:space="preserve">. </w:t>
      </w:r>
      <w:r w:rsidRPr="008B0C98">
        <w:rPr>
          <w:rFonts w:ascii="Times New Roman" w:eastAsia="Times New Roman" w:hAnsi="Times New Roman" w:cs="Times New Roman"/>
          <w:lang w:val="nl-NL"/>
        </w:rPr>
        <w:t xml:space="preserve">Namun, hambatan seperti biaya tinggi, ketidakpastian pasar, dan kerentanan terhadap volatilitas harga komoditas dan minyak terus menjadi masalah utama </w:t>
      </w:r>
      <w:r w:rsidR="007F699A">
        <w:rPr>
          <w:rFonts w:ascii="Times New Roman" w:eastAsia="Times New Roman" w:hAnsi="Times New Roman" w:cs="Times New Roman"/>
          <w:lang w:val="nl-NL"/>
        </w:rPr>
        <w:fldChar w:fldCharType="begin" w:fldLock="1"/>
      </w:r>
      <w:r w:rsidR="007F699A">
        <w:rPr>
          <w:rFonts w:ascii="Times New Roman" w:eastAsia="Times New Roman" w:hAnsi="Times New Roman" w:cs="Times New Roman"/>
          <w:lang w:val="nl-NL"/>
        </w:rPr>
        <w:instrText>ADDIN CSL_CITATION {"citationItems":[{"id":"ITEM-1","itemData":{"DOI":"10.1016/j.jclepro.2020.121956","ISSN":"09596526","abstract":"This study investigates whether green investments are connected to oil price shocks. While earlier papers mainly investigate the linkage between clean energy stock and crude oil prices, we consider recently introduced environmental indexes consisting of companies that use eco-friendly production processes and develop green infrastructures. Using the Markov regime switching regression approach, we observe that the effect of crude oil prices on environmental investments appears to be statistically insignificant, albeit positive in most of the cases. One possible reason behind such a finding is that the oil-dependence is limited to the case of eco-friendly firms. The results further indicate switching between low and high volatility regimes implying that there exist high and low volatility states for green assets. Given that growing concerns about climate change and energy security would inspire market participants shift towards ethical investments, our results could be of interest to investors aiming at decarbonizing their portfolios by including more environmental assets. One important finding of our empirical analysis is that green assets are found to be more susceptible to oil market volatility rather than to oil price fluctuations. This is a novel finding given that prior literature focusing on the association of oil sectors and green assets mainly consider the information on oil prices rather than oil volatility. Hence, our study aims to conceal an important void in the exiting literature.","author":[{"dropping-particle":"","family":"Dutta","given":"Anupam","non-dropping-particle":"","parse-names":false,"suffix":""},{"dropping-particle":"","family":"Jana","given":"R. K.","non-dropping-particle":"","parse-names":false,"suffix":""},{"dropping-particle":"","family":"Das","given":"Debojyoti","non-dropping-particle":"","parse-names":false,"suffix":""}],"container-title":"Journal of Cleaner Production","id":"ITEM-1","issued":{"date-parts":[["2020"]]},"title":"Do green investments react to oil price shocks? Implications for sustainable development","type":"article-journal","volume":"266"},"uris":["http://www.mendeley.com/documents/?uuid=5fa0298a-cf23-4170-b5a8-7d0aa746b518"]}],"mendeley":{"formattedCitation":"(Dutta et al., 2020)","plainTextFormattedCitation":"(Dutta et al., 2020)","previouslyFormattedCitation":"(Dutta et al., 2020)"},"properties":{"noteIndex":0},"schema":"https://github.com/citation-style-language/schema/raw/master/csl-citation.json"}</w:instrText>
      </w:r>
      <w:r w:rsidR="007F699A">
        <w:rPr>
          <w:rFonts w:ascii="Times New Roman" w:eastAsia="Times New Roman" w:hAnsi="Times New Roman" w:cs="Times New Roman"/>
          <w:lang w:val="nl-NL"/>
        </w:rPr>
        <w:fldChar w:fldCharType="separate"/>
      </w:r>
      <w:r w:rsidR="007F699A" w:rsidRPr="007F699A">
        <w:rPr>
          <w:rFonts w:ascii="Times New Roman" w:eastAsia="Times New Roman" w:hAnsi="Times New Roman" w:cs="Times New Roman"/>
          <w:noProof/>
          <w:lang w:val="nl-NL"/>
        </w:rPr>
        <w:t>(Dutta et al., 2020)</w:t>
      </w:r>
      <w:r w:rsidR="007F699A">
        <w:rPr>
          <w:rFonts w:ascii="Times New Roman" w:eastAsia="Times New Roman" w:hAnsi="Times New Roman" w:cs="Times New Roman"/>
          <w:lang w:val="nl-NL"/>
        </w:rPr>
        <w:fldChar w:fldCharType="end"/>
      </w:r>
      <w:r w:rsidR="007F699A">
        <w:rPr>
          <w:rFonts w:ascii="Times New Roman" w:eastAsia="Times New Roman" w:hAnsi="Times New Roman" w:cs="Times New Roman"/>
          <w:lang w:val="nl-NL"/>
        </w:rPr>
        <w:fldChar w:fldCharType="begin" w:fldLock="1"/>
      </w:r>
      <w:r w:rsidR="004656FC">
        <w:rPr>
          <w:rFonts w:ascii="Times New Roman" w:eastAsia="Times New Roman" w:hAnsi="Times New Roman" w:cs="Times New Roman"/>
          <w:lang w:val="nl-NL"/>
        </w:rPr>
        <w:instrText>ADDIN CSL_CITATION {"citationItems":[{"id":"ITEM-1","itemData":{"DOI":"10.1016/j.jclepro.2021.128523","author":[{"dropping-particle":"","family":"Dutta","given":"Anupam","non-dropping-particle":"","parse-names":false,"suffix":""},{"dropping-particle":"","family":"Bouri","given":"Elie","non-dropping-particle":"","parse-names":false,"suffix":""},{"dropping-particle":"","family":"Dutta","given":"Probal","non-dropping-particle":"","parse-names":false,"suffix":""},{"dropping-particle":"","family":"Saeed","given":"Tareq","non-dropping-particle":"","parse-names":false,"suffix":""}],"container-title":"Journal of Cleaner Production","id":"ITEM-1","issued":{"date-parts":[["2021","8","1"]]},"page":"128523","title":"Commodity market risks and green investments: Evidence from India","type":"article-journal","volume":"318"},"uris":["http://www.mendeley.com/documents/?uuid=a788e0bb-2360-4a21-87de-e21a9c13f0f2"]}],"mendeley":{"formattedCitation":"(Dutta et al., 2021)","plainTextFormattedCitation":"(Dutta et al., 2021)","previouslyFormattedCitation":"(Dutta et al., 2021)"},"properties":{"noteIndex":0},"schema":"https://github.com/citation-style-language/schema/raw/master/csl-citation.json"}</w:instrText>
      </w:r>
      <w:r w:rsidR="007F699A">
        <w:rPr>
          <w:rFonts w:ascii="Times New Roman" w:eastAsia="Times New Roman" w:hAnsi="Times New Roman" w:cs="Times New Roman"/>
          <w:lang w:val="nl-NL"/>
        </w:rPr>
        <w:fldChar w:fldCharType="separate"/>
      </w:r>
      <w:r w:rsidR="007F699A" w:rsidRPr="007F699A">
        <w:rPr>
          <w:rFonts w:ascii="Times New Roman" w:eastAsia="Times New Roman" w:hAnsi="Times New Roman" w:cs="Times New Roman"/>
          <w:noProof/>
          <w:lang w:val="nl-NL"/>
        </w:rPr>
        <w:t>(Dutta et al., 2021)</w:t>
      </w:r>
      <w:r w:rsidR="007F699A">
        <w:rPr>
          <w:rFonts w:ascii="Times New Roman" w:eastAsia="Times New Roman" w:hAnsi="Times New Roman" w:cs="Times New Roman"/>
          <w:lang w:val="nl-NL"/>
        </w:rPr>
        <w:fldChar w:fldCharType="end"/>
      </w:r>
      <w:r w:rsidR="007F699A">
        <w:rPr>
          <w:rFonts w:ascii="Times New Roman" w:eastAsia="Times New Roman" w:hAnsi="Times New Roman" w:cs="Times New Roman"/>
          <w:lang w:val="nl-NL"/>
        </w:rPr>
        <w:t xml:space="preserve">. </w:t>
      </w:r>
      <w:r w:rsidRPr="008B0C98">
        <w:rPr>
          <w:rFonts w:ascii="Times New Roman" w:eastAsia="Times New Roman" w:hAnsi="Times New Roman" w:cs="Times New Roman"/>
          <w:lang w:val="nl-NL"/>
        </w:rPr>
        <w:t xml:space="preserve">Studi di ASEAN menunjukkan bahwa konsumsi energi bersih, obligasi hijau, dan pertumbuhan ekonomi hijau berkontribusi langsung pada praktik lingkungan, sosial, dan pemerintahan (ESG) serta pencapaian SDGs dan pertumbuhan ekonomi hijau di tingkat makro </w:t>
      </w:r>
      <w:r w:rsidR="00867C72">
        <w:rPr>
          <w:rFonts w:ascii="Times New Roman" w:eastAsia="Times New Roman" w:hAnsi="Times New Roman" w:cs="Times New Roman"/>
          <w:lang w:val="nl-NL"/>
        </w:rPr>
        <w:fldChar w:fldCharType="begin" w:fldLock="1"/>
      </w:r>
      <w:r w:rsidR="00867C72">
        <w:rPr>
          <w:rFonts w:ascii="Times New Roman" w:eastAsia="Times New Roman" w:hAnsi="Times New Roman" w:cs="Times New Roman"/>
          <w:lang w:val="nl-NL"/>
        </w:rPr>
        <w:instrText>ADDIN CSL_CITATION {"citationItems":[{"id":"ITEM-1","itemData":{"DOI":"10.1177/18479790241231725","ISSN":"18479790","abstract":"The study inspects the seven sectors of the Association of Southeast Asian Nations (ASEAN) economies to explore the impact of consumption of clean energy, green bonds, and green economic advancement on environmental, social, and governance (ESG) practices to attain sustainable development goals (SDGs). The ESG aspects are individually explored from 2011 to 2020. It is observed that the key determinants of ESG practices are green economic advancement, clean energy, and green financing. Moreover, these determinants positively and significantly track the ASEAN economies toward attaining SDGs. The determinants play a vital role in sustainable advancement even when explored individually using different regression models. The linkages between the explanatory and outcome variables remain consistent after controlling other variables like climate regulatory quality, foreign direct investment, and gross domestic product. The study provides solid implications for stakeholders, environmental activists, and governments of ASEAN economies. The findings also infer sustainable business practices via creating an association between ESG practices, green economy, clean energy, and green financing.","author":[{"dropping-particle":"","family":"Phan","given":"Thuy Chung","non-dropping-particle":"","parse-names":false,"suffix":""}],"container-title":"International Journal of Engineering Business Management","id":"ITEM-1","issued":{"date-parts":[["2024"]]},"page":"1-12","title":"Impact of green investments, green economic growth and renewable energy consumption on environmental, social, and governance practices to achieve the sustainable development goals: A sectoral analysis in the ASEAN economies","type":"article-journal","volume":"16"},"uris":["http://www.mendeley.com/documents/?uuid=b662e3af-b473-4930-b632-a5c5eeef1dc7"]}],"mendeley":{"formattedCitation":"(Phan, 2024)","plainTextFormattedCitation":"(Phan, 2024)","previouslyFormattedCitation":"(Phan, 2024)"},"properties":{"noteIndex":0},"schema":"https://github.com/citation-style-language/schema/raw/master/csl-citation.json"}</w:instrText>
      </w:r>
      <w:r w:rsidR="00867C72">
        <w:rPr>
          <w:rFonts w:ascii="Times New Roman" w:eastAsia="Times New Roman" w:hAnsi="Times New Roman" w:cs="Times New Roman"/>
          <w:lang w:val="nl-NL"/>
        </w:rPr>
        <w:fldChar w:fldCharType="separate"/>
      </w:r>
      <w:r w:rsidR="00867C72" w:rsidRPr="00867C72">
        <w:rPr>
          <w:rFonts w:ascii="Times New Roman" w:eastAsia="Times New Roman" w:hAnsi="Times New Roman" w:cs="Times New Roman"/>
          <w:noProof/>
          <w:lang w:val="nl-NL"/>
        </w:rPr>
        <w:t>(Phan, 2024)</w:t>
      </w:r>
      <w:r w:rsidR="00867C72">
        <w:rPr>
          <w:rFonts w:ascii="Times New Roman" w:eastAsia="Times New Roman" w:hAnsi="Times New Roman" w:cs="Times New Roman"/>
          <w:lang w:val="nl-NL"/>
        </w:rPr>
        <w:fldChar w:fldCharType="end"/>
      </w:r>
      <w:r w:rsidR="00867C72">
        <w:rPr>
          <w:rFonts w:ascii="Times New Roman" w:eastAsia="Times New Roman" w:hAnsi="Times New Roman" w:cs="Times New Roman"/>
          <w:lang w:val="nl-NL"/>
        </w:rPr>
        <w:t>.</w:t>
      </w:r>
      <w:r w:rsidRPr="008B0C98">
        <w:rPr>
          <w:rFonts w:ascii="Times New Roman" w:eastAsia="Times New Roman" w:hAnsi="Times New Roman" w:cs="Times New Roman"/>
          <w:lang w:val="nl-NL"/>
        </w:rPr>
        <w:t xml:space="preserve"> Investasi hijau, inovasi yang ramah lingkungan, dan inklusi keuangan telah terbukti mendorong pembangunan berkelanjutan di China </w:t>
      </w:r>
      <w:r w:rsidR="00CB1162">
        <w:rPr>
          <w:rFonts w:ascii="Times New Roman" w:eastAsia="Times New Roman" w:hAnsi="Times New Roman" w:cs="Times New Roman"/>
          <w:lang w:val="nl-NL"/>
        </w:rPr>
        <w:fldChar w:fldCharType="begin" w:fldLock="1"/>
      </w:r>
      <w:r w:rsidR="00CB1162">
        <w:rPr>
          <w:rFonts w:ascii="Times New Roman" w:eastAsia="Times New Roman" w:hAnsi="Times New Roman" w:cs="Times New Roman"/>
          <w:lang w:val="nl-NL"/>
        </w:rPr>
        <w:instrText>ADDIN CSL_CITATION {"citationItems":[{"id":"ITEM-1","itemData":{"DOI":"10.5755/j01.ee.34.1.32159","ISSN":"20295839","abstract":"Recently, sustainable development is demanded to be a compulsory requirement by international communities due to environmental and economic instability, hence, encouraging scholars to explore various approaches through which countries could achieve it. In this lieu, the present article explores the concept of green investment, eco-innovation, and financial inclusion and their effectiveness on sustainable development in the context of China. The article has extracted the data from secondary sources like Organization for Economic Co-operation and Development (OECD), Bloomberg, and World Development Indicators (WDI) from 1991 to 2020. The study has applied the Bayesian Auto-regressive Distributed Lags (BARDL) model to check the association between the understudy constructs. The results exposed that the green investment, eco-innovation index, R&amp;D expenditures, commercial bank branches, commercial bank depositors, and commercial bank borrowers have a positive and significant linkage with sustainable development (human development index) in China. The study guides policymakers in developing policies to enhance sustainable development using green investment, eco-innovation, and financial inclusion.","author":[{"dropping-particle":"","family":"Chien","given":"Fengsheng","non-dropping-particle":"","parse-names":false,"suffix":""}],"container-title":"Engineering Economics","id":"ITEM-1","issue":"1","issued":{"date-parts":[["2023"]]},"page":"17-31","title":"The Impact of Green Investment, Eco-Innovation, and Financial Inclusion on Sustainable Development: Evidence from China","type":"article-journal","volume":"34"},"uris":["http://www.mendeley.com/documents/?uuid=c82843fe-c6cf-4145-b5c9-58cf5ad7ca0b"]}],"mendeley":{"formattedCitation":"(Chien, 2023)","plainTextFormattedCitation":"(Chien, 2023)","previouslyFormattedCitation":"(Chien, 2023)"},"properties":{"noteIndex":0},"schema":"https://github.com/citation-style-language/schema/raw/master/csl-citation.json"}</w:instrText>
      </w:r>
      <w:r w:rsidR="00CB1162">
        <w:rPr>
          <w:rFonts w:ascii="Times New Roman" w:eastAsia="Times New Roman" w:hAnsi="Times New Roman" w:cs="Times New Roman"/>
          <w:lang w:val="nl-NL"/>
        </w:rPr>
        <w:fldChar w:fldCharType="separate"/>
      </w:r>
      <w:r w:rsidR="00CB1162" w:rsidRPr="00CB1162">
        <w:rPr>
          <w:rFonts w:ascii="Times New Roman" w:eastAsia="Times New Roman" w:hAnsi="Times New Roman" w:cs="Times New Roman"/>
          <w:noProof/>
          <w:lang w:val="nl-NL"/>
        </w:rPr>
        <w:t>(Chien, 2023)</w:t>
      </w:r>
      <w:r w:rsidR="00CB1162">
        <w:rPr>
          <w:rFonts w:ascii="Times New Roman" w:eastAsia="Times New Roman" w:hAnsi="Times New Roman" w:cs="Times New Roman"/>
          <w:lang w:val="nl-NL"/>
        </w:rPr>
        <w:fldChar w:fldCharType="end"/>
      </w:r>
      <w:r w:rsidR="00CB1162">
        <w:rPr>
          <w:rFonts w:ascii="Times New Roman" w:eastAsia="Times New Roman" w:hAnsi="Times New Roman" w:cs="Times New Roman"/>
          <w:lang w:val="nl-NL"/>
        </w:rPr>
        <w:t xml:space="preserve">. </w:t>
      </w:r>
      <w:r w:rsidRPr="008B0C98">
        <w:rPr>
          <w:rFonts w:ascii="Times New Roman" w:eastAsia="Times New Roman" w:hAnsi="Times New Roman" w:cs="Times New Roman"/>
          <w:lang w:val="nl-NL"/>
        </w:rPr>
        <w:t>Di sisi lain, pembiayaan hijau dengan blockchain dan transparansi, efisiensi, dan akses semakin meningkat (</w:t>
      </w:r>
      <w:r w:rsidR="004656FC">
        <w:rPr>
          <w:rFonts w:ascii="Times New Roman" w:eastAsia="Times New Roman" w:hAnsi="Times New Roman" w:cs="Times New Roman"/>
          <w:lang w:val="nl-NL"/>
        </w:rPr>
        <w:fldChar w:fldCharType="begin" w:fldLock="1"/>
      </w:r>
      <w:r w:rsidR="004656FC">
        <w:rPr>
          <w:rFonts w:ascii="Times New Roman" w:eastAsia="Times New Roman" w:hAnsi="Times New Roman" w:cs="Times New Roman"/>
          <w:lang w:val="nl-NL"/>
        </w:rPr>
        <w:instrText>ADDIN CSL_CITATION {"citationItems":[{"id":"ITEM-1","itemData":{"DOI":"10.1186/s40854-025-00772-1","ISSN":"21994730","abstract":"Green investments (GIs) in the energy industry are crucial for driving a clean energy transition and fostering environmental sustainability. In the digital economy era, insufficient attention has been paid to digital finance’s (DF’s) influence on GIs in energy enterprises, potentially underestimating its impact. Our study utilized a two-way fixed-effects model, analyzing data from 108 listed energy firms from 2011 to 2020, to empirically investigate the influence of DF on GIs in China’s energy industry. The research findings are as follows: (1) An increase of one unit in DF can improve the intensity of GIs in the energy industry by 0.03% by alleviating financing constraints, increasing cash flow, and correcting financial mismatches. (2) DF has a significant threshold effect on GIs, with market incentive- and command-and-control-based environmental regulations having thresholds of 16.98 and 0.98, respectively. (3) The GI performance of large state-owned energy enterprises in regions with a higher marketization benefits more from DF. We suggested tailored policy suggestions according to these findings.","author":[{"dropping-particle":"","family":"Lin","given":"Boqiang","non-dropping-particle":"","parse-names":false,"suffix":""},{"dropping-particle":"","family":"Xie","given":"Yongjing","non-dropping-particle":"","parse-names":false,"suffix":""}],"container-title":"Financial Innovation","id":"ITEM-1","issue":"1","issued":{"date-parts":[["2025"]]},"page":"1-23","publisher":"Springer Nature Singapore","title":"How does digital finance drive energy transition? A green investment-based perspective","type":"article-journal","volume":"11"},"uris":["http://www.mendeley.com/documents/?uuid=16bb7a16-a3bc-4d69-9acb-55631f62f530"]}],"mendeley":{"formattedCitation":"(Lin &amp; Xie, 2025)","plainTextFormattedCitation":"(Lin &amp; Xie, 2025)","previouslyFormattedCitation":"(Lin &amp; Xie, 2025)"},"properties":{"noteIndex":0},"schema":"https://github.com/citation-style-language/schema/raw/master/csl-citation.json"}</w:instrText>
      </w:r>
      <w:r w:rsidR="004656FC">
        <w:rPr>
          <w:rFonts w:ascii="Times New Roman" w:eastAsia="Times New Roman" w:hAnsi="Times New Roman" w:cs="Times New Roman"/>
          <w:lang w:val="nl-NL"/>
        </w:rPr>
        <w:fldChar w:fldCharType="separate"/>
      </w:r>
      <w:r w:rsidR="004656FC" w:rsidRPr="004656FC">
        <w:rPr>
          <w:rFonts w:ascii="Times New Roman" w:eastAsia="Times New Roman" w:hAnsi="Times New Roman" w:cs="Times New Roman"/>
          <w:noProof/>
          <w:lang w:val="nl-NL"/>
        </w:rPr>
        <w:t>(Lin &amp; Xie, 2025)</w:t>
      </w:r>
      <w:r w:rsidR="004656FC">
        <w:rPr>
          <w:rFonts w:ascii="Times New Roman" w:eastAsia="Times New Roman" w:hAnsi="Times New Roman" w:cs="Times New Roman"/>
          <w:lang w:val="nl-NL"/>
        </w:rPr>
        <w:fldChar w:fldCharType="end"/>
      </w:r>
      <w:r w:rsidRPr="008B0C98">
        <w:rPr>
          <w:rFonts w:ascii="Times New Roman" w:eastAsia="Times New Roman" w:hAnsi="Times New Roman" w:cs="Times New Roman"/>
          <w:lang w:val="nl-NL"/>
        </w:rPr>
        <w:t xml:space="preserve">; </w:t>
      </w:r>
      <w:r w:rsidR="004656FC">
        <w:rPr>
          <w:rFonts w:ascii="Times New Roman" w:eastAsia="Times New Roman" w:hAnsi="Times New Roman" w:cs="Times New Roman"/>
          <w:lang w:val="nl-NL"/>
        </w:rPr>
        <w:fldChar w:fldCharType="begin" w:fldLock="1"/>
      </w:r>
      <w:r w:rsidR="00B94541">
        <w:rPr>
          <w:rFonts w:ascii="Times New Roman" w:eastAsia="Times New Roman" w:hAnsi="Times New Roman" w:cs="Times New Roman"/>
          <w:lang w:val="nl-NL"/>
        </w:rPr>
        <w:instrText>ADDIN CSL_CITATION {"citationItems":[{"id":"ITEM-1","itemData":{"DOI":"10.52566/msu-econ3.2024.125","ISBN":"0009000973482","ISSN":"25181254","abstract":"The study aimed to analyse the possibilities of using blockchain technology to increase transparency and efficiency in sustainable finance. The application of blockchain technologies and environmental and social practices in the context of sustainable finance was analysed, emphasising implementation and prospects in Kyrgyzstan. Blockchain, as an innovative decentralised data recording technology, provides a high level of security, transparency and immutability, which renders it particularly valuable for the financial sector. The study highlighted how blockchain can improve international transfer processes, increase the transparency of financial transactions and simplify the management of smart contracts, and noted existing challenges such as scalability and legal issues. The role of blockchain technologies in sustainable finance, especially in the field of green investments, was highlighted as an important aspect of the study. The introduction of blockchain in areas such as green project financing and social initiative management can help increase investor confidence and improve investment performance. Financial technology is also central in shaping new approaches to finance and investment, facilitating access to capital through crowdfunding and person-to-person (P2P) lending platforms. The introduction of environmental and social practices in financial institutions of the Kyrgyz Republic demonstrates the growing attention to corporate responsibility and sustainable development, despite the initial stage of their implementation. On international stage, successful projects such as the use of blockchain to track supply chains, green bonds and carbon credit management demonstrate the potential of technology to improve the transparency and efficiency of sustainable finance. These examples can be used by Kyrgyzstan in developing and implementing domestic blockchain and environmental and social initiatives, contributing to more sustainable economic growth and attracting international investment.","author":[{"dropping-particle":"","family":"Khalegi","given":"Firuza","non-dropping-particle":"","parse-names":false,"suffix":""},{"dropping-particle":"","family":"Kadyraliev","given":"Aibek","non-dropping-particle":"","parse-names":false,"suffix":""},{"dropping-particle":"","family":"Tursunalieva","given":"Dinara","non-dropping-particle":"","parse-names":false,"suffix":""},{"dropping-particle":"","family":"Orozbekov","given":"Alymbek","non-dropping-particle":"","parse-names":false,"suffix":""},{"dropping-particle":"","family":"Bigali","given":"Aizat","non-dropping-particle":"","parse-names":false,"suffix":""}],"container-title":"Scientific Bulletin of Mukachevo State University. Series Economics","id":"ITEM-1","issue":"3","issued":{"date-parts":[["2024"]]},"page":"125-137","title":"Blockchain and sustainable finance: Enhancing transparency and efficiency in green investments","type":"article-journal","volume":"11"},"uris":["http://www.mendeley.com/documents/?uuid=9e942d69-3d23-49c0-99fb-36af543ed97a"]}],"mendeley":{"formattedCitation":"(Khalegi et al., 2024)","plainTextFormattedCitation":"(Khalegi et al., 2024)","previouslyFormattedCitation":"(Khalegi et al., 2024)"},"properties":{"noteIndex":0},"schema":"https://github.com/citation-style-language/schema/raw/master/csl-citation.json"}</w:instrText>
      </w:r>
      <w:r w:rsidR="004656FC">
        <w:rPr>
          <w:rFonts w:ascii="Times New Roman" w:eastAsia="Times New Roman" w:hAnsi="Times New Roman" w:cs="Times New Roman"/>
          <w:lang w:val="nl-NL"/>
        </w:rPr>
        <w:fldChar w:fldCharType="separate"/>
      </w:r>
      <w:r w:rsidR="004656FC" w:rsidRPr="004656FC">
        <w:rPr>
          <w:rFonts w:ascii="Times New Roman" w:eastAsia="Times New Roman" w:hAnsi="Times New Roman" w:cs="Times New Roman"/>
          <w:noProof/>
          <w:lang w:val="nl-NL"/>
        </w:rPr>
        <w:t>(Khalegi et al., 2024)</w:t>
      </w:r>
      <w:r w:rsidR="004656FC">
        <w:rPr>
          <w:rFonts w:ascii="Times New Roman" w:eastAsia="Times New Roman" w:hAnsi="Times New Roman" w:cs="Times New Roman"/>
          <w:lang w:val="nl-NL"/>
        </w:rPr>
        <w:fldChar w:fldCharType="end"/>
      </w:r>
      <w:r w:rsidRPr="008B0C98">
        <w:rPr>
          <w:rFonts w:ascii="Times New Roman" w:eastAsia="Times New Roman" w:hAnsi="Times New Roman" w:cs="Times New Roman"/>
          <w:lang w:val="nl-NL"/>
        </w:rPr>
        <w:t>.</w:t>
      </w:r>
    </w:p>
    <w:p w14:paraId="4939F973" w14:textId="02E1C3EE" w:rsidR="00762A1D" w:rsidRPr="008B0C98" w:rsidRDefault="00000000">
      <w:pPr>
        <w:jc w:val="both"/>
        <w:rPr>
          <w:rFonts w:ascii="Times New Roman" w:eastAsia="Times New Roman" w:hAnsi="Times New Roman" w:cs="Times New Roman"/>
          <w:lang w:val="nl-NL"/>
        </w:rPr>
      </w:pPr>
      <w:r w:rsidRPr="008B0C98">
        <w:rPr>
          <w:rFonts w:ascii="Times New Roman" w:eastAsia="Times New Roman" w:hAnsi="Times New Roman" w:cs="Times New Roman"/>
          <w:lang w:val="nl-NL"/>
        </w:rPr>
        <w:t xml:space="preserve">Arah investasi hijau dalam negara berkembang juga sangat dipengaruhi oleh perubahan politik, tata kelola, dan peraturan. Investasi hijau di Indonesia telah ditunjukkan untuk memediasi hubungan antara pengungkapan informasi karbon dan koneksi politik </w:t>
      </w:r>
      <w:r w:rsidR="004656FC">
        <w:rPr>
          <w:rFonts w:ascii="Times New Roman" w:eastAsia="Times New Roman" w:hAnsi="Times New Roman" w:cs="Times New Roman"/>
          <w:lang w:val="nl-NL"/>
        </w:rPr>
        <w:fldChar w:fldCharType="begin" w:fldLock="1"/>
      </w:r>
      <w:r w:rsidR="004656FC">
        <w:rPr>
          <w:rFonts w:ascii="Times New Roman" w:eastAsia="Times New Roman" w:hAnsi="Times New Roman" w:cs="Times New Roman"/>
          <w:lang w:val="nl-NL"/>
        </w:rPr>
        <w:instrText>ADDIN CSL_CITATION {"citationItems":[{"id":"ITEM-1","itemData":{"DOI":"10.1080/23311975.2023.2264004","ISSN":"23311975","abstract":"This study aims to expand this research by analyzing the mediating role of green investment in the influence of political connections on carbon information disclosure. The novelty of this study is the mediation model, which refers to a combination of upper echelons theory and stakeholder theory. The sample of this study totaled 197 firm years. This study uses a sample of energy and basic materials companies listed on the Indonesia Stock Exchange from 2017 to 2021. The results of the direct effect testing indicate that political connections affect carbon information disclosure. The findings show that green investment has a significant influence on mediating political connections and carbon information disclosure. This study confirms the mediating effect of the green investment variables. These results are supported by the robustness test results, which confirm the main conclusions. This indicates that the green investment made by the company mediates the political connection between the board of directors and the carbon information in its annual report or sustainability reporting. This study contributes to the literature on the role of green investment in mediating political connections in corporate top management to increase carbon information disclosure.","author":[{"dropping-particle":"","family":"Maharani","given":"Astrid","non-dropping-particle":"","parse-names":false,"suffix":""},{"dropping-particle":"","family":"Agustia","given":"Dian","non-dropping-particle":"","parse-names":false,"suffix":""},{"dropping-particle":"","family":"Qomariyah","given":"Alfiyatul","non-dropping-particle":"","parse-names":false,"suffix":""}],"container-title":"Cogent Business and Management","id":"ITEM-1","issue":"3","issued":{"date-parts":[["2023"]]},"publisher":"Cogent","title":"The mediating role of green investment in political connection and carbon information disclosure: Empirical evidence in emerging stock market","type":"article-journal","volume":"10"},"uris":["http://www.mendeley.com/documents/?uuid=06440f3f-b57c-4323-960c-eda4dd5de781"]}],"mendeley":{"formattedCitation":"(Maharani et al., 2023)","plainTextFormattedCitation":"(Maharani et al., 2023)","previouslyFormattedCitation":"(Maharani et al., 2023)"},"properties":{"noteIndex":0},"schema":"https://github.com/citation-style-language/schema/raw/master/csl-citation.json"}</w:instrText>
      </w:r>
      <w:r w:rsidR="004656FC">
        <w:rPr>
          <w:rFonts w:ascii="Times New Roman" w:eastAsia="Times New Roman" w:hAnsi="Times New Roman" w:cs="Times New Roman"/>
          <w:lang w:val="nl-NL"/>
        </w:rPr>
        <w:fldChar w:fldCharType="separate"/>
      </w:r>
      <w:r w:rsidR="004656FC" w:rsidRPr="004656FC">
        <w:rPr>
          <w:rFonts w:ascii="Times New Roman" w:eastAsia="Times New Roman" w:hAnsi="Times New Roman" w:cs="Times New Roman"/>
          <w:noProof/>
          <w:lang w:val="nl-NL"/>
        </w:rPr>
        <w:t>(Maharani et al., 2023)</w:t>
      </w:r>
      <w:r w:rsidR="004656FC">
        <w:rPr>
          <w:rFonts w:ascii="Times New Roman" w:eastAsia="Times New Roman" w:hAnsi="Times New Roman" w:cs="Times New Roman"/>
          <w:lang w:val="nl-NL"/>
        </w:rPr>
        <w:fldChar w:fldCharType="end"/>
      </w:r>
      <w:r w:rsidR="004656FC">
        <w:rPr>
          <w:rFonts w:ascii="Times New Roman" w:eastAsia="Times New Roman" w:hAnsi="Times New Roman" w:cs="Times New Roman"/>
          <w:lang w:val="nl-NL"/>
        </w:rPr>
        <w:t xml:space="preserve"> </w:t>
      </w:r>
      <w:r w:rsidRPr="008B0C98">
        <w:rPr>
          <w:rFonts w:ascii="Times New Roman" w:eastAsia="Times New Roman" w:hAnsi="Times New Roman" w:cs="Times New Roman"/>
          <w:lang w:val="nl-NL"/>
        </w:rPr>
        <w:t xml:space="preserve">dan berdampak pada kebijakan dividen perusahaan hijau selama periode krisis </w:t>
      </w:r>
      <w:r w:rsidR="00CB1162">
        <w:rPr>
          <w:rFonts w:ascii="Times New Roman" w:eastAsia="Times New Roman" w:hAnsi="Times New Roman" w:cs="Times New Roman"/>
          <w:lang w:val="nl-NL"/>
        </w:rPr>
        <w:fldChar w:fldCharType="begin" w:fldLock="1"/>
      </w:r>
      <w:r w:rsidR="00DE42A6">
        <w:rPr>
          <w:rFonts w:ascii="Times New Roman" w:eastAsia="Times New Roman" w:hAnsi="Times New Roman" w:cs="Times New Roman"/>
          <w:lang w:val="nl-NL"/>
        </w:rPr>
        <w:instrText>ADDIN CSL_CITATION {"citationItems":[{"id":"ITEM-1","itemData":{"DOI":"10.1080/23311975.2025.2467229","ISSN":"23311975","abstract":"The COVID-19 pandemic and its aftermath underscore the urgent need to examine the dividend policies of green investment firms in Indonesia, particularly their responses to economic uncertainty and their influence on stock market behavior. This study addresses a gap in the literature by exploring the dividend policies of SRI-KEHATI firms, Indonesia’s pioneering green investment companies, before, during, and after the COVID-19 crisis, as well as the market’s response to dividend announcements. Utilizing a range of robustness tests and checks, several structured-panel data regressions, and tests for abnormal and cumulative abnormal returns, the study reports a tendency for firms within the SRI-KEHATI index to maintain lower dividend policies during and after the crisis, despite certain economic indicators showing recovery post-crisis. These results reflect macroeconomic sensitivity to pre-crisis dividend policy, indicating a dynamic relationship between green investment companies’ dividend decisions and economic conditions. Findings also reveal that investor sentiment regarding dividends became increasingly selective post-crisis, emphasizing the need for financial stability and sustainability. Additionally, market reactions were markedly strong during the crisis but weaker and often negative in the pre-crisis period. These findings highlight the sensitivity of dividend policies to macroeconomic conditions and the intricate balance between financial stability and sustainability commitments in green investment firms. Managerially, the results emphasize the need for adaptive dividend policies that respond to economic fluctuations while reinforcing investor confidence through a focus on long-term financial resilience and sustainability. For investors, the research underscores the critical role of dividend stability as a signal of enduring value creation.","author":[{"dropping-particle":"","family":"Tinungki","given":"Georgina Maria","non-dropping-particle":"","parse-names":false,"suffix":""},{"dropping-particle":"","family":"Hartono","given":"Powell Gian","non-dropping-particle":"","parse-names":false,"suffix":""},{"dropping-particle":"","family":"Frensidy","given":"Budi","non-dropping-particle":"","parse-names":false,"suffix":""},{"dropping-particle":"","family":"Sunusi","given":"Nurtiti","non-dropping-particle":"","parse-names":false,"suffix":""},{"dropping-particle":"","family":"Robiyanto","given":"Robiyanto","non-dropping-particle":"","parse-names":false,"suffix":""},{"dropping-particle":"","family":"Dorkas Rambu Atahau","given":"Apriani","non-dropping-particle":"","parse-names":false,"suffix":""}],"container-title":"Cogent Business and Management","id":"ITEM-1","issue":"1","issued":{"date-parts":[["2025"]]},"page":"-","publisher":"Cogent","title":"Revisiting dividend policy in Indonesian green investment firms and associated market reaction: an in-depth analysis over crises period","type":"article-journal","volume":"12"},"uris":["http://www.mendeley.com/documents/?uuid=d2c1c4d0-0c5d-45ef-9755-09fb8ceca051"]}],"mendeley":{"formattedCitation":"(Tinungki et al., 2025)","plainTextFormattedCitation":"(Tinungki et al., 2025)","previouslyFormattedCitation":"(Tinungki et al., 2025)"},"properties":{"noteIndex":0},"schema":"https://github.com/citation-style-language/schema/raw/master/csl-citation.json"}</w:instrText>
      </w:r>
      <w:r w:rsidR="00CB1162">
        <w:rPr>
          <w:rFonts w:ascii="Times New Roman" w:eastAsia="Times New Roman" w:hAnsi="Times New Roman" w:cs="Times New Roman"/>
          <w:lang w:val="nl-NL"/>
        </w:rPr>
        <w:fldChar w:fldCharType="separate"/>
      </w:r>
      <w:r w:rsidR="00CB1162" w:rsidRPr="00CB1162">
        <w:rPr>
          <w:rFonts w:ascii="Times New Roman" w:eastAsia="Times New Roman" w:hAnsi="Times New Roman" w:cs="Times New Roman"/>
          <w:noProof/>
          <w:lang w:val="nl-NL"/>
        </w:rPr>
        <w:t>(Tinungki et al., 2025)</w:t>
      </w:r>
      <w:r w:rsidR="00CB1162">
        <w:rPr>
          <w:rFonts w:ascii="Times New Roman" w:eastAsia="Times New Roman" w:hAnsi="Times New Roman" w:cs="Times New Roman"/>
          <w:lang w:val="nl-NL"/>
        </w:rPr>
        <w:fldChar w:fldCharType="end"/>
      </w:r>
      <w:r w:rsidR="00CB1162">
        <w:rPr>
          <w:rFonts w:ascii="Times New Roman" w:eastAsia="Times New Roman" w:hAnsi="Times New Roman" w:cs="Times New Roman"/>
          <w:lang w:val="nl-NL"/>
        </w:rPr>
        <w:t xml:space="preserve">. </w:t>
      </w:r>
      <w:r w:rsidRPr="008B0C98">
        <w:rPr>
          <w:rFonts w:ascii="Times New Roman" w:eastAsia="Times New Roman" w:hAnsi="Times New Roman" w:cs="Times New Roman"/>
          <w:lang w:val="nl-NL"/>
        </w:rPr>
        <w:t xml:space="preserve">Studi lain menekankan peran penting investasi hijau dalam rantai pasokan sirkular melalui kebijakan pajak karbon dan remanufaktur </w:t>
      </w:r>
      <w:r w:rsidR="004656FC">
        <w:rPr>
          <w:rFonts w:ascii="Times New Roman" w:eastAsia="Times New Roman" w:hAnsi="Times New Roman" w:cs="Times New Roman"/>
          <w:lang w:val="nl-NL"/>
        </w:rPr>
        <w:fldChar w:fldCharType="begin" w:fldLock="1"/>
      </w:r>
      <w:r w:rsidR="004656FC">
        <w:rPr>
          <w:rFonts w:ascii="Times New Roman" w:eastAsia="Times New Roman" w:hAnsi="Times New Roman" w:cs="Times New Roman"/>
          <w:lang w:val="nl-NL"/>
        </w:rPr>
        <w:instrText>ADDIN CSL_CITATION {"citationItems":[{"id":"ITEM-1","itemData":{"DOI":"10.1016/j.clscn.2024.100168","ISSN":"27723909","abstract":"In this paper, a mathematical inventory model for a closed-loop supply chain consisting of a single manufacturer and a single retailer is investigated under a stochastic environment and imperfect production. The manufacturer adopts a remanufacturing policy to recover returned products from the market. The model takes into account exchange rate disparities because the supply chain's participants are in separate countries. The model also considers carbon emissions, which are expected to be produced from storage, transportation, and production. A carbon policy, namely carbon tax, is implemented to manage the overall emissions resulting from the supply chain. To cope with carbon restrictions, the manufacturer has an opportunity to invest in green technologies. The objective of the study is to find optimal shipment quantity, number of deliveries, safety factor, and green investment such that the joint total cost is minimized. An iterative procedure is suggested to solve the proposed problem, and a numerical example is presented for model validation. The findings imply that variations in the production rate and carbon tax have a significant influence on the model's performance. Aside from that, the results reveal that uncertainty in the exchange rate and production flaws are important factors that must be considered by managers in making inventory decisions, especially those related to the number of deliveries, frequency of deliveries, and the amount of money invested in green technology. Finally, a sensitivity analysis is provided to explain the behavior of the model.","author":[{"dropping-particle":"","family":"Jauhari","given":"Wakhid Ahmad","non-dropping-particle":"","parse-names":false,"suffix":""},{"dropping-particle":"","family":"Affifah","given":"Devina Nur","non-dropping-particle":"","parse-names":false,"suffix":""},{"dropping-particle":"","family":"Laksono","given":"Pringgo Widyo","non-dropping-particle":"","parse-names":false,"suffix":""},{"dropping-particle":"","family":"Utama","given":"Dana Marsetiya","non-dropping-particle":"","parse-names":false,"suffix":""}],"container-title":"Cleaner Logistics and Supply Chain","id":"ITEM-1","issue":"September","issued":{"date-parts":[["2024"]]},"title":"A closed-loop supply chain inventory model with stochastic demand, exchange rate, green investment, and carbon tax","type":"article-journal","volume":"13"},"uris":["http://www.mendeley.com/documents/?uuid=339c6c1f-7766-4212-b292-022fde498ec7"]}],"mendeley":{"formattedCitation":"(Jauhari et al., 2024)","plainTextFormattedCitation":"(Jauhari et al., 2024)","previouslyFormattedCitation":"(Jauhari et al., 2024)"},"properties":{"noteIndex":0},"schema":"https://github.com/citation-style-language/schema/raw/master/csl-citation.json"}</w:instrText>
      </w:r>
      <w:r w:rsidR="004656FC">
        <w:rPr>
          <w:rFonts w:ascii="Times New Roman" w:eastAsia="Times New Roman" w:hAnsi="Times New Roman" w:cs="Times New Roman"/>
          <w:lang w:val="nl-NL"/>
        </w:rPr>
        <w:fldChar w:fldCharType="separate"/>
      </w:r>
      <w:r w:rsidR="004656FC" w:rsidRPr="004656FC">
        <w:rPr>
          <w:rFonts w:ascii="Times New Roman" w:eastAsia="Times New Roman" w:hAnsi="Times New Roman" w:cs="Times New Roman"/>
          <w:noProof/>
          <w:lang w:val="nl-NL"/>
        </w:rPr>
        <w:t>(Jauhari et al., 2024)</w:t>
      </w:r>
      <w:r w:rsidR="004656FC">
        <w:rPr>
          <w:rFonts w:ascii="Times New Roman" w:eastAsia="Times New Roman" w:hAnsi="Times New Roman" w:cs="Times New Roman"/>
          <w:lang w:val="nl-NL"/>
        </w:rPr>
        <w:fldChar w:fldCharType="end"/>
      </w:r>
      <w:r w:rsidR="004656FC">
        <w:rPr>
          <w:rFonts w:ascii="Times New Roman" w:eastAsia="Times New Roman" w:hAnsi="Times New Roman" w:cs="Times New Roman"/>
          <w:lang w:val="nl-NL"/>
        </w:rPr>
        <w:t xml:space="preserve">. </w:t>
      </w:r>
    </w:p>
    <w:p w14:paraId="502389DE" w14:textId="77777777" w:rsidR="00762A1D" w:rsidRPr="008B0C98" w:rsidRDefault="00000000">
      <w:pPr>
        <w:jc w:val="both"/>
        <w:rPr>
          <w:rFonts w:ascii="Times New Roman" w:eastAsia="Times New Roman" w:hAnsi="Times New Roman" w:cs="Times New Roman"/>
          <w:lang w:val="nl-NL"/>
        </w:rPr>
      </w:pPr>
      <w:r w:rsidRPr="008B0C98">
        <w:rPr>
          <w:rFonts w:ascii="Times New Roman" w:eastAsia="Times New Roman" w:hAnsi="Times New Roman" w:cs="Times New Roman"/>
          <w:lang w:val="nl-NL"/>
        </w:rPr>
        <w:t>Penelitian ini bertujuan untuk menjawab pertanyaan penelitian utama terkait tren publikasi, kontributor paling berpengaruh, struktur intelektual dan sosial, tema dominan, dan arah masa depan penelitian investasi hijau dari tahun 2015 hingga 2025. Hal ini disebabkan oleh fakta bahwa penelitian bibliometrik menjadi penting untuk memetakan tren, struktur intelektual, dan kolaborasi ilmiah di bidang investasi hijau seiring meningkatnya kompleksitas faktor pendorong dan penghambat.</w:t>
      </w:r>
    </w:p>
    <w:p w14:paraId="3234E606" w14:textId="3C601E36" w:rsidR="00762A1D" w:rsidRPr="008B0C98" w:rsidRDefault="00000000" w:rsidP="00C36110">
      <w:pPr>
        <w:jc w:val="both"/>
        <w:rPr>
          <w:rFonts w:ascii="Times New Roman" w:eastAsia="Times New Roman" w:hAnsi="Times New Roman" w:cs="Times New Roman"/>
          <w:lang w:val="nl-NL"/>
        </w:rPr>
      </w:pPr>
      <w:r w:rsidRPr="008B0C98">
        <w:rPr>
          <w:rFonts w:ascii="Times New Roman" w:eastAsia="Times New Roman" w:hAnsi="Times New Roman" w:cs="Times New Roman"/>
          <w:lang w:val="nl-NL"/>
        </w:rPr>
        <w:t>Berdasarkan latar belakang tersebut, tujuan dari penelitian ini adalah (RQ1)</w:t>
      </w:r>
      <w:r w:rsidR="00C36110">
        <w:rPr>
          <w:rFonts w:ascii="Times New Roman" w:eastAsia="Times New Roman" w:hAnsi="Times New Roman" w:cs="Times New Roman"/>
          <w:lang w:val="nl-NL"/>
        </w:rPr>
        <w:t xml:space="preserve"> </w:t>
      </w:r>
      <w:r w:rsidR="00C36110" w:rsidRPr="00C36110">
        <w:rPr>
          <w:rFonts w:ascii="Times New Roman" w:eastAsia="Times New Roman" w:hAnsi="Times New Roman" w:cs="Times New Roman"/>
          <w:lang w:val="nl-NL"/>
        </w:rPr>
        <w:t>menganalisis tren volume publikasi dan struktur kutipan dalam literatur penelitian tentang investasi hijau dari tahun 2015 hingga 2025</w:t>
      </w:r>
      <w:r w:rsidR="00C36110">
        <w:rPr>
          <w:rFonts w:ascii="Times New Roman" w:eastAsia="Times New Roman" w:hAnsi="Times New Roman" w:cs="Times New Roman"/>
          <w:lang w:val="nl-NL"/>
        </w:rPr>
        <w:t xml:space="preserve"> (</w:t>
      </w:r>
      <w:r w:rsidR="00C36110" w:rsidRPr="00C36110">
        <w:rPr>
          <w:rFonts w:ascii="Times New Roman" w:eastAsia="Times New Roman" w:hAnsi="Times New Roman" w:cs="Times New Roman"/>
          <w:lang w:val="nl-NL"/>
        </w:rPr>
        <w:t>RQ2</w:t>
      </w:r>
      <w:r w:rsidR="00C36110">
        <w:rPr>
          <w:rFonts w:ascii="Times New Roman" w:eastAsia="Times New Roman" w:hAnsi="Times New Roman" w:cs="Times New Roman"/>
          <w:lang w:val="nl-NL"/>
        </w:rPr>
        <w:t>)</w:t>
      </w:r>
      <w:r w:rsidR="00C36110" w:rsidRPr="00C36110">
        <w:rPr>
          <w:rFonts w:ascii="Times New Roman" w:eastAsia="Times New Roman" w:hAnsi="Times New Roman" w:cs="Times New Roman"/>
          <w:lang w:val="nl-NL"/>
        </w:rPr>
        <w:t xml:space="preserve"> Siapa saja kontributor paling berpengaruh dalam domain investasi hijau, termasuk penulis, jurnal, institusi, dan negara dengan publikasi terbanyak dan kutipan tertinggi?</w:t>
      </w:r>
      <w:r w:rsidR="00C36110">
        <w:rPr>
          <w:rFonts w:ascii="Times New Roman" w:eastAsia="Times New Roman" w:hAnsi="Times New Roman" w:cs="Times New Roman"/>
          <w:lang w:val="nl-NL"/>
        </w:rPr>
        <w:t xml:space="preserve"> Dan (</w:t>
      </w:r>
      <w:r w:rsidR="00C36110" w:rsidRPr="00C36110">
        <w:rPr>
          <w:rFonts w:ascii="Times New Roman" w:eastAsia="Times New Roman" w:hAnsi="Times New Roman" w:cs="Times New Roman"/>
          <w:lang w:val="nl-NL"/>
        </w:rPr>
        <w:t>RQ3</w:t>
      </w:r>
      <w:r w:rsidR="00C36110">
        <w:rPr>
          <w:rFonts w:ascii="Times New Roman" w:eastAsia="Times New Roman" w:hAnsi="Times New Roman" w:cs="Times New Roman"/>
          <w:lang w:val="nl-NL"/>
        </w:rPr>
        <w:t>)</w:t>
      </w:r>
      <w:r w:rsidR="00C36110" w:rsidRPr="00C36110">
        <w:rPr>
          <w:rFonts w:ascii="Times New Roman" w:eastAsia="Times New Roman" w:hAnsi="Times New Roman" w:cs="Times New Roman"/>
          <w:lang w:val="nl-NL"/>
        </w:rPr>
        <w:t xml:space="preserve"> Bagaimana pola kolaborasi berdasarkan negara dan jumlah sitasi artikel ?</w:t>
      </w:r>
    </w:p>
    <w:p w14:paraId="32693EBC" w14:textId="77777777" w:rsidR="00762A1D" w:rsidRPr="008B0C98" w:rsidRDefault="00000000">
      <w:pPr>
        <w:jc w:val="both"/>
        <w:rPr>
          <w:rFonts w:ascii="Times New Roman" w:eastAsia="Times New Roman" w:hAnsi="Times New Roman" w:cs="Times New Roman"/>
          <w:b/>
          <w:lang w:val="nl-NL"/>
        </w:rPr>
      </w:pPr>
      <w:r w:rsidRPr="008B0C98">
        <w:rPr>
          <w:rFonts w:ascii="Times New Roman" w:eastAsia="Times New Roman" w:hAnsi="Times New Roman" w:cs="Times New Roman"/>
          <w:b/>
          <w:lang w:val="nl-NL"/>
        </w:rPr>
        <w:t>METODE PENELITIAN</w:t>
      </w:r>
    </w:p>
    <w:p w14:paraId="0A9881E0" w14:textId="3A184A00" w:rsidR="00762A1D" w:rsidRPr="008B0C98" w:rsidRDefault="00DD4A31" w:rsidP="00DD4A31">
      <w:pPr>
        <w:jc w:val="both"/>
        <w:rPr>
          <w:rFonts w:ascii="Times New Roman" w:eastAsia="Times New Roman" w:hAnsi="Times New Roman" w:cs="Times New Roman"/>
          <w:lang w:val="nl-NL"/>
        </w:rPr>
      </w:pPr>
      <w:r>
        <w:rPr>
          <w:rFonts w:ascii="Times New Roman" w:eastAsia="Times New Roman" w:hAnsi="Times New Roman" w:cs="Times New Roman"/>
          <w:lang w:val="nl-NL"/>
        </w:rPr>
        <w:t xml:space="preserve">Metode penelitian ini menggunakan analisis Bibliometrik. </w:t>
      </w:r>
      <w:r w:rsidRPr="00DD4A31">
        <w:rPr>
          <w:rFonts w:ascii="Times New Roman" w:eastAsia="Times New Roman" w:hAnsi="Times New Roman" w:cs="Times New Roman"/>
          <w:lang w:val="nl-NL"/>
        </w:rPr>
        <w:t>Analisis Bibliometrik adalah metode kuantitatif yang digunakan untuk meninjau dan menganalisis literatur dalam bidang tertentu. Metode ini melibatkan penggunaan metrik sitasi, faktor dampak, dan perangkat statistik lainnya untuk menilai pengaruh dan jangkauan luaran penelitian</w:t>
      </w:r>
      <w:r>
        <w:rPr>
          <w:rFonts w:ascii="Times New Roman" w:eastAsia="Times New Roman" w:hAnsi="Times New Roman" w:cs="Times New Roman"/>
          <w:lang w:val="nl-NL"/>
        </w:rPr>
        <w:t xml:space="preserve"> </w:t>
      </w:r>
      <w:r>
        <w:rPr>
          <w:rFonts w:ascii="Times New Roman" w:eastAsia="Times New Roman" w:hAnsi="Times New Roman" w:cs="Times New Roman"/>
          <w:lang w:val="nl-NL"/>
        </w:rPr>
        <w:fldChar w:fldCharType="begin" w:fldLock="1"/>
      </w:r>
      <w:r w:rsidR="00CB1162">
        <w:rPr>
          <w:rFonts w:ascii="Times New Roman" w:eastAsia="Times New Roman" w:hAnsi="Times New Roman" w:cs="Times New Roman"/>
          <w:lang w:val="nl-NL"/>
        </w:rPr>
        <w:instrText>ADDIN CSL_CITATION {"citationItems":[{"id":"ITEM-1","itemData":{"DOI":"10.3184/003685018X15337564592469","ISBN":"1533756459246","ISSN":"20477163","PMID":"30131092","abstract":"Bibliometrics are a range of techniques and quantitative measures that provide an analysis of written publications such as books and articles, and which assess the impact of research outputs. They are commonly applied to individual authors in the form of citation metrics but can also be used to assess the influence of research groups or even entire institutions. With the increased importance of social media as a means of communicating and publicising research findings, additional alternative measures of impact (altmetrics) are now being used. In addition to analysing the reach of a research output, bibliometrics can also be used as search tools to identify related and updated research, author networks and connections between institutions. This review summarises the range of tools and services that are available, their advantages and disadvantages, and some of the challenges and issues presented by the existence of multiple digital versions of research outputs.","author":[{"dropping-particle":"","family":"Blakeman","given":"Karen","non-dropping-particle":"","parse-names":false,"suffix":""}],"container-title":"Science Progress","id":"ITEM-1","issue":"3","issued":{"date-parts":[["2018"]]},"page":"293-310","title":"Biologically-derived nanomaterials for targeted therapeutic delivery to the brain","type":"article-journal","volume":"101"},"uris":["http://www.mendeley.com/documents/?uuid=d4fe12b1-312f-45ff-8588-644d36eb45e0"]}],"mendeley":{"formattedCitation":"(Blakeman, 2018)","plainTextFormattedCitation":"(Blakeman, 2018)","previouslyFormattedCitation":"(Blakeman, 2018)"},"properties":{"noteIndex":0},"schema":"https://github.com/citation-style-language/schema/raw/master/csl-citation.json"}</w:instrText>
      </w:r>
      <w:r>
        <w:rPr>
          <w:rFonts w:ascii="Times New Roman" w:eastAsia="Times New Roman" w:hAnsi="Times New Roman" w:cs="Times New Roman"/>
          <w:lang w:val="nl-NL"/>
        </w:rPr>
        <w:fldChar w:fldCharType="separate"/>
      </w:r>
      <w:r w:rsidRPr="00DD4A31">
        <w:rPr>
          <w:rFonts w:ascii="Times New Roman" w:eastAsia="Times New Roman" w:hAnsi="Times New Roman" w:cs="Times New Roman"/>
          <w:noProof/>
          <w:lang w:val="nl-NL"/>
        </w:rPr>
        <w:t>(Blakeman, 2018)</w:t>
      </w:r>
      <w:r>
        <w:rPr>
          <w:rFonts w:ascii="Times New Roman" w:eastAsia="Times New Roman" w:hAnsi="Times New Roman" w:cs="Times New Roman"/>
          <w:lang w:val="nl-NL"/>
        </w:rPr>
        <w:fldChar w:fldCharType="end"/>
      </w:r>
      <w:r>
        <w:rPr>
          <w:rFonts w:ascii="Times New Roman" w:eastAsia="Times New Roman" w:hAnsi="Times New Roman" w:cs="Times New Roman"/>
          <w:lang w:val="nl-NL"/>
        </w:rPr>
        <w:t xml:space="preserve">. </w:t>
      </w:r>
      <w:r w:rsidRPr="008B0C98">
        <w:rPr>
          <w:rFonts w:ascii="Times New Roman" w:eastAsia="Times New Roman" w:hAnsi="Times New Roman" w:cs="Times New Roman"/>
          <w:lang w:val="nl-NL"/>
        </w:rPr>
        <w:t xml:space="preserve">Tujuan utama dari penelitian ini adalah untuk menganalisis dinamika publikasi, menemukan kontributor paling berpengaruh, dan menemukan celah penelitian yang prospektif pasca Perjanjian Paris 2015. Tahap pertama adalah mengumpulkan informasi. </w:t>
      </w:r>
      <w:r w:rsidRPr="00B94541">
        <w:rPr>
          <w:rFonts w:ascii="Times New Roman" w:eastAsia="Times New Roman" w:hAnsi="Times New Roman" w:cs="Times New Roman"/>
        </w:rPr>
        <w:t xml:space="preserve">Scopus adalah basis data ilmiah terbesar yang mencakup berbagai disiplin ilmu </w:t>
      </w:r>
      <w:r w:rsidR="00B94541">
        <w:rPr>
          <w:rFonts w:ascii="Times New Roman" w:eastAsia="Times New Roman" w:hAnsi="Times New Roman" w:cs="Times New Roman"/>
          <w:lang w:val="nl-NL"/>
        </w:rPr>
        <w:fldChar w:fldCharType="begin" w:fldLock="1"/>
      </w:r>
      <w:r w:rsidR="00B94541" w:rsidRPr="00B94541">
        <w:rPr>
          <w:rFonts w:ascii="Times New Roman" w:eastAsia="Times New Roman" w:hAnsi="Times New Roman" w:cs="Times New Roman"/>
        </w:rPr>
        <w:instrText>ADDIN CSL_CITATION {"citationItems":[{"id":"ITEM-1","itemData":{"author":[{"dropping-particle":"","family":"Aria","given":"Massimo","non-dropping-particle":"","parse-names":false,"suffix":""},{"dropping-particle":"","family":"Cuccurullo","given":"Corrado","non-dropping-particle":"","parse-names":false,"suffix":""}],"id":"ITEM-1","issued":{"date-parts":[["2020"]]},"page":"68","title":"Package ‘ bibliometrix ’ R topics documented :","type":"article-journal"},"uris":["http://www.mendeley.com/documents/?uuid=d2755d66-4787-49d1-99fd-115575c69e77"]}],"mendeley":{"formattedCitation":"(Aria &amp; Cuccurullo, 2020)","plainTextFormattedCitation":"(Aria &amp; Cuccurullo, 2020)"},"properties":{"noteIndex":0},"schema":"https://github.com/citation-style-language/schema/raw/master/csl-citation.json"}</w:instrText>
      </w:r>
      <w:r w:rsidR="00B94541">
        <w:rPr>
          <w:rFonts w:ascii="Times New Roman" w:eastAsia="Times New Roman" w:hAnsi="Times New Roman" w:cs="Times New Roman"/>
          <w:lang w:val="nl-NL"/>
        </w:rPr>
        <w:fldChar w:fldCharType="separate"/>
      </w:r>
      <w:r w:rsidR="00B94541" w:rsidRPr="00B94541">
        <w:rPr>
          <w:rFonts w:ascii="Times New Roman" w:eastAsia="Times New Roman" w:hAnsi="Times New Roman" w:cs="Times New Roman"/>
          <w:noProof/>
        </w:rPr>
        <w:t>(Aria &amp; Cuccurullo, 2020)</w:t>
      </w:r>
      <w:r w:rsidR="00B94541">
        <w:rPr>
          <w:rFonts w:ascii="Times New Roman" w:eastAsia="Times New Roman" w:hAnsi="Times New Roman" w:cs="Times New Roman"/>
          <w:lang w:val="nl-NL"/>
        </w:rPr>
        <w:fldChar w:fldCharType="end"/>
      </w:r>
      <w:r w:rsidR="00B94541" w:rsidRPr="00B94541">
        <w:rPr>
          <w:rFonts w:ascii="Times New Roman" w:eastAsia="Times New Roman" w:hAnsi="Times New Roman" w:cs="Times New Roman"/>
        </w:rPr>
        <w:t xml:space="preserve">. </w:t>
      </w:r>
      <w:r w:rsidRPr="008B0C98">
        <w:rPr>
          <w:rFonts w:ascii="Times New Roman" w:eastAsia="Times New Roman" w:hAnsi="Times New Roman" w:cs="Times New Roman"/>
          <w:lang w:val="nl-NL"/>
        </w:rPr>
        <w:t xml:space="preserve">Untuk judul, abstrak, dan kata kunci artikel, kata kunci utama "investasi hijau" digunakan untuk </w:t>
      </w:r>
      <w:r w:rsidRPr="008B0C98">
        <w:rPr>
          <w:rFonts w:ascii="Times New Roman" w:eastAsia="Times New Roman" w:hAnsi="Times New Roman" w:cs="Times New Roman"/>
          <w:lang w:val="nl-NL"/>
        </w:rPr>
        <w:lastRenderedPageBreak/>
        <w:t>melakukan pencarian. Pencarian awal menghasilkan 13.286 dokumen. Tahap selanjutnya adalah penyaringan data untuk memastikan relevansi dan kualitas korpus penelitian. Proses ini dilakukan secara bertahap dengan menerapkan beberapa kriteria eksklusi, sebagai berikut:</w:t>
      </w:r>
    </w:p>
    <w:p w14:paraId="17BB1E1B" w14:textId="77777777" w:rsidR="00762A1D" w:rsidRDefault="00000000" w:rsidP="00867C72">
      <w:pPr>
        <w:numPr>
          <w:ilvl w:val="0"/>
          <w:numId w:val="1"/>
        </w:numPr>
        <w:spacing w:after="0"/>
        <w:ind w:left="426"/>
        <w:jc w:val="both"/>
        <w:rPr>
          <w:rFonts w:ascii="Times New Roman" w:eastAsia="Times New Roman" w:hAnsi="Times New Roman" w:cs="Times New Roman"/>
        </w:rPr>
      </w:pPr>
      <w:r>
        <w:rPr>
          <w:rFonts w:ascii="Times New Roman" w:eastAsia="Times New Roman" w:hAnsi="Times New Roman" w:cs="Times New Roman"/>
        </w:rPr>
        <w:t xml:space="preserve">Batasan Waktu: </w:t>
      </w:r>
      <w:proofErr w:type="spellStart"/>
      <w:r>
        <w:rPr>
          <w:rFonts w:ascii="Times New Roman" w:eastAsia="Times New Roman" w:hAnsi="Times New Roman" w:cs="Times New Roman"/>
        </w:rPr>
        <w:t>Fokus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publikasi</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tren</w:t>
      </w:r>
      <w:proofErr w:type="spellEnd"/>
      <w:r>
        <w:rPr>
          <w:rFonts w:ascii="Times New Roman" w:eastAsia="Times New Roman" w:hAnsi="Times New Roman" w:cs="Times New Roman"/>
        </w:rPr>
        <w:t xml:space="preserve"> setelah Perjanjian Paris </w:t>
      </w:r>
      <w:proofErr w:type="spellStart"/>
      <w:r>
        <w:rPr>
          <w:rFonts w:ascii="Times New Roman" w:eastAsia="Times New Roman" w:hAnsi="Times New Roman" w:cs="Times New Roman"/>
        </w:rPr>
        <w:t>dibatasi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2015 </w:t>
      </w:r>
      <w:proofErr w:type="spellStart"/>
      <w:r>
        <w:rPr>
          <w:rFonts w:ascii="Times New Roman" w:eastAsia="Times New Roman" w:hAnsi="Times New Roman" w:cs="Times New Roman"/>
        </w:rPr>
        <w:t>hingga</w:t>
      </w:r>
      <w:proofErr w:type="spellEnd"/>
      <w:r>
        <w:rPr>
          <w:rFonts w:ascii="Times New Roman" w:eastAsia="Times New Roman" w:hAnsi="Times New Roman" w:cs="Times New Roman"/>
        </w:rPr>
        <w:t xml:space="preserve"> 2025.</w:t>
      </w:r>
    </w:p>
    <w:p w14:paraId="007EC056" w14:textId="77777777" w:rsidR="00762A1D" w:rsidRDefault="00000000" w:rsidP="00867C72">
      <w:pPr>
        <w:numPr>
          <w:ilvl w:val="0"/>
          <w:numId w:val="1"/>
        </w:numPr>
        <w:spacing w:after="0"/>
        <w:ind w:left="426"/>
        <w:jc w:val="both"/>
        <w:rPr>
          <w:rFonts w:ascii="Times New Roman" w:eastAsia="Times New Roman" w:hAnsi="Times New Roman" w:cs="Times New Roman"/>
        </w:rPr>
      </w:pPr>
      <w:r>
        <w:rPr>
          <w:rFonts w:ascii="Times New Roman" w:eastAsia="Times New Roman" w:hAnsi="Times New Roman" w:cs="Times New Roman"/>
        </w:rPr>
        <w:t>Jenis Dokumen: Hanya artikel ilmiah (</w:t>
      </w:r>
      <w:r>
        <w:rPr>
          <w:rFonts w:ascii="Times New Roman" w:eastAsia="Times New Roman" w:hAnsi="Times New Roman" w:cs="Times New Roman"/>
          <w:i/>
        </w:rPr>
        <w:t>articles</w:t>
      </w:r>
      <w:r>
        <w:rPr>
          <w:rFonts w:ascii="Times New Roman" w:eastAsia="Times New Roman" w:hAnsi="Times New Roman" w:cs="Times New Roman"/>
        </w:rPr>
        <w:t xml:space="preserve">) disertakan. </w:t>
      </w:r>
      <w:r>
        <w:rPr>
          <w:rFonts w:ascii="Times New Roman" w:eastAsia="Times New Roman" w:hAnsi="Times New Roman" w:cs="Times New Roman"/>
          <w:i/>
        </w:rPr>
        <w:t>Review</w:t>
      </w:r>
      <w:r>
        <w:rPr>
          <w:rFonts w:ascii="Times New Roman" w:eastAsia="Times New Roman" w:hAnsi="Times New Roman" w:cs="Times New Roman"/>
        </w:rPr>
        <w:t>, kertas konferensi, bab buku, dan editorial dikecualikan.</w:t>
      </w:r>
    </w:p>
    <w:p w14:paraId="19A56482" w14:textId="77777777" w:rsidR="00762A1D" w:rsidRPr="008B0C98" w:rsidRDefault="00000000" w:rsidP="00867C72">
      <w:pPr>
        <w:numPr>
          <w:ilvl w:val="0"/>
          <w:numId w:val="1"/>
        </w:numPr>
        <w:spacing w:after="0"/>
        <w:ind w:left="426"/>
        <w:jc w:val="both"/>
        <w:rPr>
          <w:rFonts w:ascii="Times New Roman" w:eastAsia="Times New Roman" w:hAnsi="Times New Roman" w:cs="Times New Roman"/>
          <w:lang w:val="nl-NL"/>
        </w:rPr>
      </w:pPr>
      <w:r w:rsidRPr="008B0C98">
        <w:rPr>
          <w:rFonts w:ascii="Times New Roman" w:eastAsia="Times New Roman" w:hAnsi="Times New Roman" w:cs="Times New Roman"/>
          <w:lang w:val="nl-NL"/>
        </w:rPr>
        <w:t>Bahasa: Untuk memastikan konsistensi analisis, hanya artikel yang diterbitkan dalam bahasa Inggris digunakan.</w:t>
      </w:r>
    </w:p>
    <w:p w14:paraId="790D8AB8" w14:textId="77777777" w:rsidR="00762A1D" w:rsidRPr="008B0C98" w:rsidRDefault="00000000" w:rsidP="00867C72">
      <w:pPr>
        <w:numPr>
          <w:ilvl w:val="0"/>
          <w:numId w:val="1"/>
        </w:numPr>
        <w:spacing w:after="0"/>
        <w:ind w:left="426"/>
        <w:jc w:val="both"/>
        <w:rPr>
          <w:rFonts w:ascii="Times New Roman" w:eastAsia="Times New Roman" w:hAnsi="Times New Roman" w:cs="Times New Roman"/>
          <w:lang w:val="nl-NL"/>
        </w:rPr>
      </w:pPr>
      <w:r w:rsidRPr="008B0C98">
        <w:rPr>
          <w:rFonts w:ascii="Times New Roman" w:eastAsia="Times New Roman" w:hAnsi="Times New Roman" w:cs="Times New Roman"/>
          <w:lang w:val="nl-NL"/>
        </w:rPr>
        <w:t>Area Subjek: Dokumen yang tidak terkait dengan disiplin ilmu lingkungan, bisnis, manajemen, dan akuntansi, ekonomi, ekonomi, ekonometrik, dan keuangan, dan ilmu sosial dirilis.</w:t>
      </w:r>
    </w:p>
    <w:p w14:paraId="178FA2BB" w14:textId="77777777" w:rsidR="00762A1D" w:rsidRDefault="00000000" w:rsidP="00867C72">
      <w:pPr>
        <w:numPr>
          <w:ilvl w:val="0"/>
          <w:numId w:val="1"/>
        </w:numPr>
        <w:ind w:left="426"/>
        <w:jc w:val="both"/>
        <w:rPr>
          <w:rFonts w:ascii="Times New Roman" w:eastAsia="Times New Roman" w:hAnsi="Times New Roman" w:cs="Times New Roman"/>
        </w:rPr>
      </w:pPr>
      <w:proofErr w:type="spellStart"/>
      <w:r>
        <w:rPr>
          <w:rFonts w:ascii="Times New Roman" w:eastAsia="Times New Roman" w:hAnsi="Times New Roman" w:cs="Times New Roman"/>
        </w:rPr>
        <w:t>Korpus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terakhir</w:t>
      </w:r>
      <w:proofErr w:type="spellEnd"/>
      <w:r>
        <w:rPr>
          <w:rFonts w:ascii="Times New Roman" w:eastAsia="Times New Roman" w:hAnsi="Times New Roman" w:cs="Times New Roman"/>
        </w:rPr>
        <w:t xml:space="preserve"> yang digunakan dalam analisis ini berjumlah 667 artikel, setelah melalui proses penyaringan yang ketat.</w:t>
      </w:r>
    </w:p>
    <w:p w14:paraId="6C0BBCD5" w14:textId="12677E90" w:rsidR="00762A1D" w:rsidRPr="008B0C98" w:rsidRDefault="00000000" w:rsidP="008B0C98">
      <w:pPr>
        <w:ind w:firstLine="720"/>
        <w:jc w:val="both"/>
        <w:rPr>
          <w:rFonts w:ascii="Times New Roman" w:eastAsia="Times New Roman" w:hAnsi="Times New Roman" w:cs="Times New Roman"/>
          <w:lang w:val="nl-NL"/>
        </w:rPr>
      </w:pPr>
      <w:r w:rsidRPr="008B0C98">
        <w:rPr>
          <w:rFonts w:ascii="Times New Roman" w:eastAsia="Times New Roman" w:hAnsi="Times New Roman" w:cs="Times New Roman"/>
          <w:lang w:val="nl-NL"/>
        </w:rPr>
        <w:t>Pada tahap terakhir, data yang telah disaring diekspor dari Scopus dan diolah menggunakan R-Studio. Program ini menganalisis kinerja publikasi, termasuk tren publikasi tahunan, distribusi jurnal terkemuka, dan kontribusi negara. Oleh karena itu, metode ini memastikan bahwa hasil analisis adalah valid dan dapat digunakan kembali.</w:t>
      </w:r>
    </w:p>
    <w:p w14:paraId="19582A19" w14:textId="77777777" w:rsidR="00762A1D" w:rsidRPr="008B0C98" w:rsidRDefault="00000000">
      <w:pPr>
        <w:jc w:val="both"/>
        <w:rPr>
          <w:rFonts w:ascii="Times New Roman" w:eastAsia="Times New Roman" w:hAnsi="Times New Roman" w:cs="Times New Roman"/>
          <w:b/>
          <w:lang w:val="nl-NL"/>
        </w:rPr>
      </w:pPr>
      <w:r w:rsidRPr="008B0C98">
        <w:rPr>
          <w:rFonts w:ascii="Times New Roman" w:eastAsia="Times New Roman" w:hAnsi="Times New Roman" w:cs="Times New Roman"/>
          <w:b/>
          <w:lang w:val="nl-NL"/>
        </w:rPr>
        <w:t>HASIL PENELITIAN</w:t>
      </w:r>
    </w:p>
    <w:p w14:paraId="6653B827" w14:textId="77777777" w:rsidR="00762A1D" w:rsidRPr="007F699A" w:rsidRDefault="00000000">
      <w:pPr>
        <w:jc w:val="both"/>
        <w:rPr>
          <w:rFonts w:ascii="Times New Roman" w:eastAsia="Times New Roman" w:hAnsi="Times New Roman" w:cs="Times New Roman"/>
          <w:b/>
          <w:lang w:val="nl-NL"/>
        </w:rPr>
      </w:pPr>
      <w:r w:rsidRPr="007F699A">
        <w:rPr>
          <w:rFonts w:ascii="Times New Roman" w:eastAsia="Times New Roman" w:hAnsi="Times New Roman" w:cs="Times New Roman"/>
          <w:b/>
          <w:lang w:val="nl-NL"/>
        </w:rPr>
        <w:t>Tren Penelitian Investasi Hijau</w:t>
      </w:r>
    </w:p>
    <w:p w14:paraId="6CA436B4" w14:textId="21761AC7" w:rsidR="008B0C98" w:rsidRDefault="008B0C98" w:rsidP="008B0C98">
      <w:pPr>
        <w:jc w:val="both"/>
        <w:rPr>
          <w:rFonts w:ascii="Times New Roman" w:eastAsia="Times New Roman" w:hAnsi="Times New Roman" w:cs="Times New Roman"/>
          <w:bCs/>
          <w:lang w:val="nl-NL"/>
        </w:rPr>
      </w:pPr>
      <w:r w:rsidRPr="008B0C98">
        <w:rPr>
          <w:rFonts w:ascii="Times New Roman" w:eastAsia="Times New Roman" w:hAnsi="Times New Roman" w:cs="Times New Roman"/>
          <w:bCs/>
          <w:lang w:val="nl-NL"/>
        </w:rPr>
        <w:t>Tren Publikasi yang ditampilkan pada Gambar 1. Mengilustrasikan tren tahunan volume dan dampak (RQ1) dari korpus penelitian mengenai investasi hijau sepanjang tahun 2015 – 2025.</w:t>
      </w:r>
      <w:r>
        <w:rPr>
          <w:rFonts w:ascii="Times New Roman" w:eastAsia="Times New Roman" w:hAnsi="Times New Roman" w:cs="Times New Roman"/>
          <w:bCs/>
          <w:lang w:val="nl-NL"/>
        </w:rPr>
        <w:t xml:space="preserve"> </w:t>
      </w:r>
      <w:r w:rsidRPr="008B0C98">
        <w:rPr>
          <w:rFonts w:ascii="Times New Roman" w:eastAsia="Times New Roman" w:hAnsi="Times New Roman" w:cs="Times New Roman"/>
          <w:bCs/>
          <w:lang w:val="nl-NL"/>
        </w:rPr>
        <w:t xml:space="preserve">Analisis ini menyoroti adanya fluktuasi signifikan dalam jumlah publikasi, yang mencerminkan meningkatnya minat akademis terhadap isu-isu keberlanjutan dan dampaknya terhadap perekonomian global. </w:t>
      </w:r>
    </w:p>
    <w:p w14:paraId="0B0112B8" w14:textId="64F91DBF" w:rsidR="008B0C98" w:rsidRPr="008B0C98" w:rsidRDefault="008B0C98" w:rsidP="008B0C98">
      <w:pPr>
        <w:jc w:val="center"/>
        <w:rPr>
          <w:rFonts w:ascii="Times New Roman" w:eastAsia="Times New Roman" w:hAnsi="Times New Roman" w:cs="Times New Roman"/>
          <w:bCs/>
          <w:lang w:val="nl-NL"/>
        </w:rPr>
      </w:pPr>
      <w:r w:rsidRPr="008B0C98">
        <w:rPr>
          <w:rFonts w:ascii="Times New Roman" w:eastAsia="Times New Roman" w:hAnsi="Times New Roman" w:cs="Times New Roman"/>
          <w:b/>
        </w:rPr>
        <w:t>Gambar 1.</w:t>
      </w:r>
      <w:r w:rsidRPr="008B0C98">
        <w:rPr>
          <w:rFonts w:ascii="Times New Roman" w:eastAsia="Times New Roman" w:hAnsi="Times New Roman" w:cs="Times New Roman"/>
          <w:bCs/>
        </w:rPr>
        <w:t xml:space="preserve"> </w:t>
      </w:r>
      <w:r w:rsidRPr="008B0C98">
        <w:rPr>
          <w:rFonts w:ascii="Times New Roman" w:eastAsia="Times New Roman" w:hAnsi="Times New Roman" w:cs="Times New Roman"/>
          <w:bCs/>
          <w:lang w:val="nl-NL"/>
        </w:rPr>
        <w:t>Tren Penelitian tentang investasi hij</w:t>
      </w:r>
      <w:r>
        <w:rPr>
          <w:rFonts w:ascii="Times New Roman" w:eastAsia="Times New Roman" w:hAnsi="Times New Roman" w:cs="Times New Roman"/>
          <w:bCs/>
          <w:lang w:val="nl-NL"/>
        </w:rPr>
        <w:t>au</w:t>
      </w:r>
    </w:p>
    <w:p w14:paraId="34CC9D6A" w14:textId="77777777" w:rsidR="00762A1D" w:rsidRDefault="00000000" w:rsidP="008B0C98">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7CE3579" wp14:editId="0C5B1103">
            <wp:extent cx="3395050" cy="2109457"/>
            <wp:effectExtent l="0" t="0" r="0" b="5715"/>
            <wp:docPr id="1943589262" name="image4.jpg" descr="A graph showing the growth of the company's sal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jpg" descr="A graph showing the growth of the company's sales&#10;&#10;AI-generated content may be incorrect."/>
                    <pic:cNvPicPr preferRelativeResize="0"/>
                  </pic:nvPicPr>
                  <pic:blipFill>
                    <a:blip r:embed="rId7"/>
                    <a:srcRect/>
                    <a:stretch>
                      <a:fillRect/>
                    </a:stretch>
                  </pic:blipFill>
                  <pic:spPr>
                    <a:xfrm>
                      <a:off x="0" y="0"/>
                      <a:ext cx="3402365" cy="2114002"/>
                    </a:xfrm>
                    <a:prstGeom prst="rect">
                      <a:avLst/>
                    </a:prstGeom>
                    <a:ln/>
                  </pic:spPr>
                </pic:pic>
              </a:graphicData>
            </a:graphic>
          </wp:inline>
        </w:drawing>
      </w:r>
    </w:p>
    <w:p w14:paraId="77E0886F" w14:textId="7193B9E3" w:rsidR="008B0C98" w:rsidRPr="008B0C98" w:rsidRDefault="008B0C98">
      <w:pPr>
        <w:ind w:left="720"/>
        <w:rPr>
          <w:rFonts w:ascii="Times New Roman" w:eastAsia="Times New Roman" w:hAnsi="Times New Roman" w:cs="Times New Roman"/>
          <w:i/>
          <w:iCs/>
        </w:rPr>
      </w:pPr>
      <w:proofErr w:type="spellStart"/>
      <w:proofErr w:type="gramStart"/>
      <w:r w:rsidRPr="008B0C98">
        <w:rPr>
          <w:rFonts w:ascii="Times New Roman" w:eastAsia="Times New Roman" w:hAnsi="Times New Roman" w:cs="Times New Roman"/>
          <w:i/>
          <w:iCs/>
        </w:rPr>
        <w:t>Sumber</w:t>
      </w:r>
      <w:proofErr w:type="spellEnd"/>
      <w:r w:rsidRPr="008B0C98">
        <w:rPr>
          <w:rFonts w:ascii="Times New Roman" w:eastAsia="Times New Roman" w:hAnsi="Times New Roman" w:cs="Times New Roman"/>
          <w:i/>
          <w:iCs/>
        </w:rPr>
        <w:t xml:space="preserve"> :</w:t>
      </w:r>
      <w:proofErr w:type="gramEnd"/>
      <w:r w:rsidRPr="008B0C98">
        <w:rPr>
          <w:rFonts w:ascii="Times New Roman" w:eastAsia="Times New Roman" w:hAnsi="Times New Roman" w:cs="Times New Roman"/>
          <w:i/>
          <w:iCs/>
        </w:rPr>
        <w:t xml:space="preserve"> Scopus, 2025</w:t>
      </w:r>
    </w:p>
    <w:p w14:paraId="28BFBEE8" w14:textId="77777777" w:rsidR="00762A1D"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lastRenderedPageBreak/>
        <w:t>Berdasarkan data bibliometrik yang disajikan, tren publikasi mengenai investasi hijau menunjukkan pola perkembangan yang sangat menarik dan dinamis dalam kurun waktu 2015 hingga 2025. Periode awal penelitian, dari tahun 2015 hingga 2018, terlihat masih berada dalam tahap perintisan. Jumlah dokumen yang diterbitkan relatif sedikit dan stabil, berkisar antara 10 hingga 25 publikasi per tahun. Ini mencerminkan bahwa pada masa itu, topik investasi hijau belum menjadi area fokus utama dalam komunitas akademis.</w:t>
      </w:r>
    </w:p>
    <w:p w14:paraId="5F1E5A18" w14:textId="77777777" w:rsidR="00DD4A31" w:rsidRDefault="00000000" w:rsidP="00DD4A31">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Namun, situasi mulai berubah drastis setelah tahun 2018. Sejak tahun 2019, kita bisa melihat adanya peningkatan yang signifikan dalam jumlah publikasi. Pertumbuhan ini terus berlanjut dan bahkan mengalami lonjakan eksponensial dari tahun ke tahun, dari sekitar 50 dokumen pada tahun 2021 menjadi 115 dokumen di tahun 2022, lalu melonjak kembali menjadi 115 dokumen di tahun 2023. Puncaknya terjadi pada tahun 2024, di mana topik ini mencapai popularitas tertinggi dengan jumlah publikasi mencapai sekitar 175 dokumen. Lonjakan tajam ini menegaskan bahwa investasi hijau telah bertransformasi menjadi area penelitian yang sangat relevan, mendesak, dan </w:t>
      </w:r>
      <w:proofErr w:type="spellStart"/>
      <w:r>
        <w:rPr>
          <w:rFonts w:ascii="Times New Roman" w:eastAsia="Times New Roman" w:hAnsi="Times New Roman" w:cs="Times New Roman"/>
        </w:rPr>
        <w:t>menarik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minat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banyak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seluruh</w:t>
      </w:r>
      <w:proofErr w:type="spellEnd"/>
      <w:r>
        <w:rPr>
          <w:rFonts w:ascii="Times New Roman" w:eastAsia="Times New Roman" w:hAnsi="Times New Roman" w:cs="Times New Roman"/>
        </w:rPr>
        <w:t xml:space="preserve"> dunia.</w:t>
      </w:r>
      <w:r w:rsidR="00DD4A31">
        <w:rPr>
          <w:rFonts w:ascii="Times New Roman" w:eastAsia="Times New Roman" w:hAnsi="Times New Roman" w:cs="Times New Roman"/>
        </w:rPr>
        <w:t xml:space="preserve"> </w:t>
      </w:r>
    </w:p>
    <w:p w14:paraId="2CD1ACE7" w14:textId="3232BA35" w:rsidR="00762A1D" w:rsidRDefault="00000000" w:rsidP="00DD4A31">
      <w:pPr>
        <w:spacing w:before="240" w:after="240"/>
        <w:jc w:val="both"/>
        <w:rPr>
          <w:rFonts w:ascii="Times New Roman" w:eastAsia="Times New Roman" w:hAnsi="Times New Roman" w:cs="Times New Roman"/>
        </w:rPr>
      </w:pPr>
      <w:proofErr w:type="spellStart"/>
      <w:r>
        <w:rPr>
          <w:rFonts w:ascii="Times New Roman" w:eastAsia="Times New Roman" w:hAnsi="Times New Roman" w:cs="Times New Roman"/>
        </w:rPr>
        <w:t>Meskipun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penurunan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tajam</w:t>
      </w:r>
      <w:proofErr w:type="spellEnd"/>
      <w:r>
        <w:rPr>
          <w:rFonts w:ascii="Times New Roman" w:eastAsia="Times New Roman" w:hAnsi="Times New Roman" w:cs="Times New Roman"/>
        </w:rPr>
        <w:t xml:space="preserve"> pada tahun 2025, dengan jumlah dokumen kembali ke angka sekitar 80, penurunan ini tidak mencerminkan hilangnya minat. Sebaliknya, data ini kemungkinan besar masih bersifat parsial atau belum lengkap, mengingat tahun 2025 belum berakhir saat data ini diambil. Dengan demikian, tren keseluruhan menunjukkan bahwa investasi hijau adalah topik yang sedang berada di puncak popularitasnya dan diperkirakan akan terus </w:t>
      </w:r>
      <w:proofErr w:type="spellStart"/>
      <w:r>
        <w:rPr>
          <w:rFonts w:ascii="Times New Roman" w:eastAsia="Times New Roman" w:hAnsi="Times New Roman" w:cs="Times New Roman"/>
        </w:rPr>
        <w:t>menjadi</w:t>
      </w:r>
      <w:proofErr w:type="spellEnd"/>
      <w:r>
        <w:rPr>
          <w:rFonts w:ascii="Times New Roman" w:eastAsia="Times New Roman" w:hAnsi="Times New Roman" w:cs="Times New Roman"/>
        </w:rPr>
        <w:t xml:space="preserve"> area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penting</w:t>
      </w:r>
      <w:proofErr w:type="spellEnd"/>
      <w:r>
        <w:rPr>
          <w:rFonts w:ascii="Times New Roman" w:eastAsia="Times New Roman" w:hAnsi="Times New Roman" w:cs="Times New Roman"/>
        </w:rPr>
        <w:t xml:space="preserve"> di masa </w:t>
      </w:r>
      <w:proofErr w:type="spellStart"/>
      <w:r>
        <w:rPr>
          <w:rFonts w:ascii="Times New Roman" w:eastAsia="Times New Roman" w:hAnsi="Times New Roman" w:cs="Times New Roman"/>
        </w:rPr>
        <w:t>mendatang</w:t>
      </w:r>
      <w:proofErr w:type="spellEnd"/>
      <w:r>
        <w:rPr>
          <w:rFonts w:ascii="Times New Roman" w:eastAsia="Times New Roman" w:hAnsi="Times New Roman" w:cs="Times New Roman"/>
        </w:rPr>
        <w:t>.</w:t>
      </w:r>
    </w:p>
    <w:p w14:paraId="79DD8374" w14:textId="6D8BF420" w:rsidR="008B0C98" w:rsidRPr="008B0C98" w:rsidRDefault="00000000" w:rsidP="008B0C98">
      <w:pPr>
        <w:jc w:val="both"/>
        <w:rPr>
          <w:rFonts w:ascii="Times New Roman" w:eastAsia="Times New Roman" w:hAnsi="Times New Roman" w:cs="Times New Roman"/>
          <w:b/>
        </w:rPr>
      </w:pPr>
      <w:r>
        <w:rPr>
          <w:rFonts w:ascii="Times New Roman" w:eastAsia="Times New Roman" w:hAnsi="Times New Roman" w:cs="Times New Roman"/>
          <w:b/>
        </w:rPr>
        <w:t xml:space="preserve">Distribusi </w:t>
      </w:r>
      <w:proofErr w:type="spellStart"/>
      <w:r>
        <w:rPr>
          <w:rFonts w:ascii="Times New Roman" w:eastAsia="Times New Roman" w:hAnsi="Times New Roman" w:cs="Times New Roman"/>
          <w:b/>
        </w:rPr>
        <w:t>Penelitian</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Investasi</w:t>
      </w:r>
      <w:proofErr w:type="spellEnd"/>
      <w:r>
        <w:rPr>
          <w:rFonts w:ascii="Times New Roman" w:eastAsia="Times New Roman" w:hAnsi="Times New Roman" w:cs="Times New Roman"/>
          <w:b/>
        </w:rPr>
        <w:t xml:space="preserve"> Hijau </w:t>
      </w:r>
      <w:proofErr w:type="spellStart"/>
      <w:r>
        <w:rPr>
          <w:rFonts w:ascii="Times New Roman" w:eastAsia="Times New Roman" w:hAnsi="Times New Roman" w:cs="Times New Roman"/>
          <w:b/>
        </w:rPr>
        <w:t>Berdasarkan</w:t>
      </w:r>
      <w:proofErr w:type="spellEnd"/>
      <w:r>
        <w:rPr>
          <w:rFonts w:ascii="Times New Roman" w:eastAsia="Times New Roman" w:hAnsi="Times New Roman" w:cs="Times New Roman"/>
          <w:b/>
        </w:rPr>
        <w:t xml:space="preserve"> Negara dan </w:t>
      </w:r>
      <w:proofErr w:type="spellStart"/>
      <w:r>
        <w:rPr>
          <w:rFonts w:ascii="Times New Roman" w:eastAsia="Times New Roman" w:hAnsi="Times New Roman" w:cs="Times New Roman"/>
          <w:b/>
        </w:rPr>
        <w:t>Organisasi</w:t>
      </w:r>
      <w:proofErr w:type="spellEnd"/>
    </w:p>
    <w:p w14:paraId="002BF637" w14:textId="2D2170A7" w:rsidR="008B0C98" w:rsidRDefault="008B0C98" w:rsidP="008B0C98">
      <w:pPr>
        <w:jc w:val="both"/>
        <w:rPr>
          <w:rFonts w:ascii="Times New Roman" w:eastAsia="Times New Roman" w:hAnsi="Times New Roman" w:cs="Times New Roman"/>
          <w:b/>
        </w:rPr>
      </w:pPr>
      <w:proofErr w:type="spellStart"/>
      <w:r w:rsidRPr="008B0C98">
        <w:rPr>
          <w:rFonts w:ascii="Times New Roman" w:eastAsia="Times New Roman" w:hAnsi="Times New Roman" w:cs="Times New Roman"/>
          <w:bCs/>
        </w:rPr>
        <w:t>Berdasarkan</w:t>
      </w:r>
      <w:proofErr w:type="spellEnd"/>
      <w:r w:rsidRPr="008B0C98">
        <w:rPr>
          <w:rFonts w:ascii="Times New Roman" w:eastAsia="Times New Roman" w:hAnsi="Times New Roman" w:cs="Times New Roman"/>
          <w:bCs/>
        </w:rPr>
        <w:t xml:space="preserve"> Gambar 2, yang </w:t>
      </w:r>
      <w:proofErr w:type="spellStart"/>
      <w:r w:rsidRPr="008B0C98">
        <w:rPr>
          <w:rFonts w:ascii="Times New Roman" w:eastAsia="Times New Roman" w:hAnsi="Times New Roman" w:cs="Times New Roman"/>
          <w:bCs/>
        </w:rPr>
        <w:t>menampilkan</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kontribusi</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ilmiah</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dari</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berbagai</w:t>
      </w:r>
      <w:proofErr w:type="spellEnd"/>
      <w:r w:rsidRPr="008B0C98">
        <w:rPr>
          <w:rFonts w:ascii="Times New Roman" w:eastAsia="Times New Roman" w:hAnsi="Times New Roman" w:cs="Times New Roman"/>
          <w:bCs/>
        </w:rPr>
        <w:t xml:space="preserve"> negara, </w:t>
      </w:r>
      <w:proofErr w:type="spellStart"/>
      <w:r w:rsidRPr="008B0C98">
        <w:rPr>
          <w:rFonts w:ascii="Times New Roman" w:eastAsia="Times New Roman" w:hAnsi="Times New Roman" w:cs="Times New Roman"/>
          <w:bCs/>
        </w:rPr>
        <w:t>dapat</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disimpulkan</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bahwa</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kolaborasi</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lintas</w:t>
      </w:r>
      <w:proofErr w:type="spellEnd"/>
      <w:r w:rsidRPr="008B0C98">
        <w:rPr>
          <w:rFonts w:ascii="Times New Roman" w:eastAsia="Times New Roman" w:hAnsi="Times New Roman" w:cs="Times New Roman"/>
          <w:bCs/>
        </w:rPr>
        <w:t xml:space="preserve"> negara sangat </w:t>
      </w:r>
      <w:proofErr w:type="spellStart"/>
      <w:r w:rsidRPr="008B0C98">
        <w:rPr>
          <w:rFonts w:ascii="Times New Roman" w:eastAsia="Times New Roman" w:hAnsi="Times New Roman" w:cs="Times New Roman"/>
          <w:bCs/>
        </w:rPr>
        <w:t>penting</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dalam</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memajukan</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penelitian</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tentang</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investasi</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hijau</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Struktur</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sosial</w:t>
      </w:r>
      <w:proofErr w:type="spellEnd"/>
      <w:r w:rsidRPr="008B0C98">
        <w:rPr>
          <w:rFonts w:ascii="Times New Roman" w:eastAsia="Times New Roman" w:hAnsi="Times New Roman" w:cs="Times New Roman"/>
          <w:bCs/>
        </w:rPr>
        <w:t xml:space="preserve"> di </w:t>
      </w:r>
      <w:proofErr w:type="spellStart"/>
      <w:r w:rsidRPr="008B0C98">
        <w:rPr>
          <w:rFonts w:ascii="Times New Roman" w:eastAsia="Times New Roman" w:hAnsi="Times New Roman" w:cs="Times New Roman"/>
          <w:bCs/>
        </w:rPr>
        <w:t>bidang</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ini</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digambarkan</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melalui</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interaksi</w:t>
      </w:r>
      <w:proofErr w:type="spellEnd"/>
      <w:r w:rsidRPr="008B0C98">
        <w:rPr>
          <w:rFonts w:ascii="Times New Roman" w:eastAsia="Times New Roman" w:hAnsi="Times New Roman" w:cs="Times New Roman"/>
          <w:bCs/>
        </w:rPr>
        <w:t xml:space="preserve"> dan </w:t>
      </w:r>
      <w:proofErr w:type="spellStart"/>
      <w:r w:rsidRPr="008B0C98">
        <w:rPr>
          <w:rFonts w:ascii="Times New Roman" w:eastAsia="Times New Roman" w:hAnsi="Times New Roman" w:cs="Times New Roman"/>
          <w:bCs/>
        </w:rPr>
        <w:t>kerja</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sama</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antara</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peneliti</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dari</w:t>
      </w:r>
      <w:proofErr w:type="spellEnd"/>
      <w:r w:rsidRPr="008B0C98">
        <w:rPr>
          <w:rFonts w:ascii="Times New Roman" w:eastAsia="Times New Roman" w:hAnsi="Times New Roman" w:cs="Times New Roman"/>
          <w:bCs/>
        </w:rPr>
        <w:t xml:space="preserve"> negara-negara </w:t>
      </w:r>
      <w:proofErr w:type="spellStart"/>
      <w:r w:rsidRPr="008B0C98">
        <w:rPr>
          <w:rFonts w:ascii="Times New Roman" w:eastAsia="Times New Roman" w:hAnsi="Times New Roman" w:cs="Times New Roman"/>
          <w:bCs/>
        </w:rPr>
        <w:t>dengan</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produksi</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ilmiah</w:t>
      </w:r>
      <w:proofErr w:type="spellEnd"/>
      <w:r w:rsidRPr="008B0C98">
        <w:rPr>
          <w:rFonts w:ascii="Times New Roman" w:eastAsia="Times New Roman" w:hAnsi="Times New Roman" w:cs="Times New Roman"/>
          <w:bCs/>
        </w:rPr>
        <w:t xml:space="preserve"> yang </w:t>
      </w:r>
      <w:proofErr w:type="spellStart"/>
      <w:r w:rsidRPr="008B0C98">
        <w:rPr>
          <w:rFonts w:ascii="Times New Roman" w:eastAsia="Times New Roman" w:hAnsi="Times New Roman" w:cs="Times New Roman"/>
          <w:bCs/>
        </w:rPr>
        <w:t>menonjol</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seperti</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Tiongkok</w:t>
      </w:r>
      <w:proofErr w:type="spellEnd"/>
      <w:r w:rsidRPr="008B0C98">
        <w:rPr>
          <w:rFonts w:ascii="Times New Roman" w:eastAsia="Times New Roman" w:hAnsi="Times New Roman" w:cs="Times New Roman"/>
          <w:bCs/>
        </w:rPr>
        <w:t xml:space="preserve">, Amerika </w:t>
      </w:r>
      <w:proofErr w:type="spellStart"/>
      <w:r w:rsidRPr="008B0C98">
        <w:rPr>
          <w:rFonts w:ascii="Times New Roman" w:eastAsia="Times New Roman" w:hAnsi="Times New Roman" w:cs="Times New Roman"/>
          <w:bCs/>
        </w:rPr>
        <w:t>Serikat</w:t>
      </w:r>
      <w:proofErr w:type="spellEnd"/>
      <w:r w:rsidRPr="008B0C98">
        <w:rPr>
          <w:rFonts w:ascii="Times New Roman" w:eastAsia="Times New Roman" w:hAnsi="Times New Roman" w:cs="Times New Roman"/>
          <w:bCs/>
        </w:rPr>
        <w:t xml:space="preserve">, dan India, yang </w:t>
      </w:r>
      <w:proofErr w:type="spellStart"/>
      <w:r w:rsidRPr="008B0C98">
        <w:rPr>
          <w:rFonts w:ascii="Times New Roman" w:eastAsia="Times New Roman" w:hAnsi="Times New Roman" w:cs="Times New Roman"/>
          <w:bCs/>
        </w:rPr>
        <w:t>membentuk</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jaringan</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riset</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internasional</w:t>
      </w:r>
      <w:proofErr w:type="spellEnd"/>
      <w:r w:rsidRPr="008B0C98">
        <w:rPr>
          <w:rFonts w:ascii="Times New Roman" w:eastAsia="Times New Roman" w:hAnsi="Times New Roman" w:cs="Times New Roman"/>
          <w:bCs/>
        </w:rPr>
        <w:t xml:space="preserve"> yang </w:t>
      </w:r>
      <w:proofErr w:type="spellStart"/>
      <w:r w:rsidRPr="008B0C98">
        <w:rPr>
          <w:rFonts w:ascii="Times New Roman" w:eastAsia="Times New Roman" w:hAnsi="Times New Roman" w:cs="Times New Roman"/>
          <w:bCs/>
        </w:rPr>
        <w:t>dinamis</w:t>
      </w:r>
      <w:proofErr w:type="spellEnd"/>
      <w:r w:rsidRPr="008B0C98">
        <w:rPr>
          <w:rFonts w:ascii="Times New Roman" w:eastAsia="Times New Roman" w:hAnsi="Times New Roman" w:cs="Times New Roman"/>
          <w:b/>
        </w:rPr>
        <w:t>.</w:t>
      </w:r>
    </w:p>
    <w:p w14:paraId="72BB020E" w14:textId="3BE71EFC" w:rsidR="00CB1162" w:rsidRDefault="00CB1162" w:rsidP="00CB1162">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Gambar 2.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gambaran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jelas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kontribusi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ilmiah</w:t>
      </w:r>
      <w:proofErr w:type="spellEnd"/>
      <w:r>
        <w:rPr>
          <w:rFonts w:ascii="Times New Roman" w:eastAsia="Times New Roman" w:hAnsi="Times New Roman" w:cs="Times New Roman"/>
        </w:rPr>
        <w:t xml:space="preserve"> negara-negara di dunia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investasi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hijau</w:t>
      </w:r>
      <w:proofErr w:type="spellEnd"/>
      <w:r>
        <w:rPr>
          <w:rFonts w:ascii="Times New Roman" w:eastAsia="Times New Roman" w:hAnsi="Times New Roman" w:cs="Times New Roman"/>
        </w:rPr>
        <w:t xml:space="preserve">. Peta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menunjukkan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produksi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ilmiah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terkonsentrasi</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beberapa</w:t>
      </w:r>
      <w:proofErr w:type="spellEnd"/>
      <w:r>
        <w:rPr>
          <w:rFonts w:ascii="Times New Roman" w:eastAsia="Times New Roman" w:hAnsi="Times New Roman" w:cs="Times New Roman"/>
        </w:rPr>
        <w:t xml:space="preserve"> wilayah </w:t>
      </w:r>
      <w:proofErr w:type="spellStart"/>
      <w:r>
        <w:rPr>
          <w:rFonts w:ascii="Times New Roman" w:eastAsia="Times New Roman" w:hAnsi="Times New Roman" w:cs="Times New Roman"/>
        </w:rPr>
        <w:t>utama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terutama</w:t>
      </w:r>
      <w:proofErr w:type="spellEnd"/>
      <w:r>
        <w:rPr>
          <w:rFonts w:ascii="Times New Roman" w:eastAsia="Times New Roman" w:hAnsi="Times New Roman" w:cs="Times New Roman"/>
        </w:rPr>
        <w:t xml:space="preserve"> di Asia Timur, Amerika Utara, dan </w:t>
      </w:r>
      <w:proofErr w:type="spellStart"/>
      <w:r>
        <w:rPr>
          <w:rFonts w:ascii="Times New Roman" w:eastAsia="Times New Roman" w:hAnsi="Times New Roman" w:cs="Times New Roman"/>
        </w:rPr>
        <w:t>Eropa</w:t>
      </w:r>
      <w:proofErr w:type="spellEnd"/>
      <w:r>
        <w:rPr>
          <w:rFonts w:ascii="Times New Roman" w:eastAsia="Times New Roman" w:hAnsi="Times New Roman" w:cs="Times New Roman"/>
        </w:rPr>
        <w:t>.</w:t>
      </w:r>
    </w:p>
    <w:p w14:paraId="03741A4F" w14:textId="77777777" w:rsidR="00CB1162" w:rsidRDefault="00CB1162" w:rsidP="00CB1162">
      <w:pPr>
        <w:spacing w:before="240" w:after="240"/>
        <w:jc w:val="both"/>
        <w:rPr>
          <w:rFonts w:ascii="Times New Roman" w:eastAsia="Times New Roman" w:hAnsi="Times New Roman" w:cs="Times New Roman"/>
          <w:lang w:val="nl-NL"/>
        </w:rPr>
      </w:pP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spesifik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Tiongkok</w:t>
      </w:r>
      <w:proofErr w:type="spellEnd"/>
      <w:r>
        <w:rPr>
          <w:rFonts w:ascii="Times New Roman" w:eastAsia="Times New Roman" w:hAnsi="Times New Roman" w:cs="Times New Roman"/>
        </w:rPr>
        <w:t xml:space="preserve"> (China) </w:t>
      </w:r>
      <w:proofErr w:type="spellStart"/>
      <w:r>
        <w:rPr>
          <w:rFonts w:ascii="Times New Roman" w:eastAsia="Times New Roman" w:hAnsi="Times New Roman" w:cs="Times New Roman"/>
        </w:rPr>
        <w:t>muncul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pemimpin</w:t>
      </w:r>
      <w:proofErr w:type="spellEnd"/>
      <w:r>
        <w:rPr>
          <w:rFonts w:ascii="Times New Roman" w:eastAsia="Times New Roman" w:hAnsi="Times New Roman" w:cs="Times New Roman"/>
        </w:rPr>
        <w:t xml:space="preserve"> global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terbantahkan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domain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jumlah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publikasi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tertinggi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mencapai</w:t>
      </w:r>
      <w:proofErr w:type="spellEnd"/>
      <w:r>
        <w:rPr>
          <w:rFonts w:ascii="Times New Roman" w:eastAsia="Times New Roman" w:hAnsi="Times New Roman" w:cs="Times New Roman"/>
        </w:rPr>
        <w:t xml:space="preserve"> 230 </w:t>
      </w:r>
      <w:proofErr w:type="spellStart"/>
      <w:r>
        <w:rPr>
          <w:rFonts w:ascii="Times New Roman" w:eastAsia="Times New Roman" w:hAnsi="Times New Roman" w:cs="Times New Roman"/>
        </w:rPr>
        <w:t>artikel</w:t>
      </w:r>
      <w:proofErr w:type="spellEnd"/>
      <w:r>
        <w:rPr>
          <w:rFonts w:ascii="Times New Roman" w:eastAsia="Times New Roman" w:hAnsi="Times New Roman" w:cs="Times New Roman"/>
        </w:rPr>
        <w:t xml:space="preserve">. </w:t>
      </w:r>
      <w:r w:rsidRPr="008B0C98">
        <w:rPr>
          <w:rFonts w:ascii="Times New Roman" w:eastAsia="Times New Roman" w:hAnsi="Times New Roman" w:cs="Times New Roman"/>
          <w:lang w:val="nl-NL"/>
        </w:rPr>
        <w:t>Dominasi Tiongkok mencerminkan komitmen besar mereka terhadap pembangunan ekonomi berkelanjutan dan investasi di sektor hijau.</w:t>
      </w:r>
      <w:r>
        <w:rPr>
          <w:rFonts w:ascii="Times New Roman" w:eastAsia="Times New Roman" w:hAnsi="Times New Roman" w:cs="Times New Roman"/>
          <w:lang w:val="nl-NL"/>
        </w:rPr>
        <w:t xml:space="preserve"> </w:t>
      </w:r>
    </w:p>
    <w:p w14:paraId="5B62A75A" w14:textId="68579821" w:rsidR="00CB1162" w:rsidRPr="00CB1162" w:rsidRDefault="00CB1162" w:rsidP="00CB1162">
      <w:pPr>
        <w:spacing w:before="240" w:after="240"/>
        <w:jc w:val="both"/>
        <w:rPr>
          <w:rFonts w:ascii="Times New Roman" w:eastAsia="Times New Roman" w:hAnsi="Times New Roman" w:cs="Times New Roman"/>
          <w:lang w:val="nl-NL"/>
        </w:rPr>
      </w:pPr>
      <w:r w:rsidRPr="008B0C98">
        <w:rPr>
          <w:rFonts w:ascii="Times New Roman" w:eastAsia="Times New Roman" w:hAnsi="Times New Roman" w:cs="Times New Roman"/>
          <w:lang w:val="nl-NL"/>
        </w:rPr>
        <w:t>Setelah Tiongkok, kontribusi signifikan juga datang dari Amerika Serikat, dengan 85 publikasi. Keterlibatan Amerika Serikat menunjukkan peran pentingnya sebagai salah satu pusat riset dan inovasi global dalam isu-isu keberlanjutan</w:t>
      </w:r>
    </w:p>
    <w:p w14:paraId="44DD2ADE" w14:textId="47DA7438" w:rsidR="008B0C98" w:rsidRPr="008B0C98" w:rsidRDefault="008B0C98" w:rsidP="008B0C98">
      <w:pPr>
        <w:jc w:val="center"/>
        <w:rPr>
          <w:rFonts w:ascii="Times New Roman" w:eastAsia="Times New Roman" w:hAnsi="Times New Roman" w:cs="Times New Roman"/>
          <w:bCs/>
          <w:lang w:val="nl-NL"/>
        </w:rPr>
      </w:pPr>
      <w:r w:rsidRPr="008B0C98">
        <w:rPr>
          <w:rFonts w:ascii="Times New Roman" w:eastAsia="Times New Roman" w:hAnsi="Times New Roman" w:cs="Times New Roman"/>
          <w:b/>
          <w:lang w:val="nl-NL"/>
        </w:rPr>
        <w:lastRenderedPageBreak/>
        <w:t xml:space="preserve">Gambar 2. </w:t>
      </w:r>
      <w:r w:rsidRPr="008B0C98">
        <w:rPr>
          <w:rFonts w:ascii="Times New Roman" w:eastAsia="Times New Roman" w:hAnsi="Times New Roman" w:cs="Times New Roman"/>
          <w:bCs/>
          <w:lang w:val="nl-NL"/>
        </w:rPr>
        <w:t>Jaringan kepenulisan Bersama antar negara</w:t>
      </w:r>
    </w:p>
    <w:p w14:paraId="54F68A72" w14:textId="77777777" w:rsidR="00762A1D" w:rsidRDefault="00000000">
      <w:pPr>
        <w:jc w:val="both"/>
        <w:rPr>
          <w:rFonts w:ascii="Times New Roman" w:eastAsia="Times New Roman" w:hAnsi="Times New Roman" w:cs="Times New Roman"/>
          <w:b/>
        </w:rPr>
      </w:pPr>
      <w:r>
        <w:rPr>
          <w:rFonts w:ascii="Times New Roman" w:eastAsia="Times New Roman" w:hAnsi="Times New Roman" w:cs="Times New Roman"/>
          <w:b/>
          <w:noProof/>
        </w:rPr>
        <w:drawing>
          <wp:inline distT="0" distB="0" distL="0" distR="0" wp14:anchorId="5B40A70B" wp14:editId="5A5530AE">
            <wp:extent cx="5731510" cy="3030220"/>
            <wp:effectExtent l="0" t="0" r="0" b="0"/>
            <wp:docPr id="1943589264" name="image3.png" descr="A map of the worl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map of the world&#10;&#10;AI-generated content may be incorrect."/>
                    <pic:cNvPicPr preferRelativeResize="0"/>
                  </pic:nvPicPr>
                  <pic:blipFill>
                    <a:blip r:embed="rId8"/>
                    <a:srcRect/>
                    <a:stretch>
                      <a:fillRect/>
                    </a:stretch>
                  </pic:blipFill>
                  <pic:spPr>
                    <a:xfrm>
                      <a:off x="0" y="0"/>
                      <a:ext cx="5731510" cy="3030220"/>
                    </a:xfrm>
                    <a:prstGeom prst="rect">
                      <a:avLst/>
                    </a:prstGeom>
                    <a:ln/>
                  </pic:spPr>
                </pic:pic>
              </a:graphicData>
            </a:graphic>
          </wp:inline>
        </w:drawing>
      </w:r>
    </w:p>
    <w:p w14:paraId="14573F15" w14:textId="69D9ECA0" w:rsidR="00762A1D" w:rsidRPr="00CB1162" w:rsidRDefault="008B0C98" w:rsidP="00CB1162">
      <w:pPr>
        <w:ind w:left="720"/>
        <w:rPr>
          <w:rFonts w:ascii="Times New Roman" w:eastAsia="Times New Roman" w:hAnsi="Times New Roman" w:cs="Times New Roman"/>
          <w:i/>
          <w:iCs/>
        </w:rPr>
      </w:pPr>
      <w:proofErr w:type="spellStart"/>
      <w:proofErr w:type="gramStart"/>
      <w:r w:rsidRPr="008B0C98">
        <w:rPr>
          <w:rFonts w:ascii="Times New Roman" w:eastAsia="Times New Roman" w:hAnsi="Times New Roman" w:cs="Times New Roman"/>
          <w:i/>
          <w:iCs/>
        </w:rPr>
        <w:t>Sumber</w:t>
      </w:r>
      <w:proofErr w:type="spellEnd"/>
      <w:r w:rsidRPr="008B0C98">
        <w:rPr>
          <w:rFonts w:ascii="Times New Roman" w:eastAsia="Times New Roman" w:hAnsi="Times New Roman" w:cs="Times New Roman"/>
          <w:i/>
          <w:iCs/>
        </w:rPr>
        <w:t xml:space="preserve"> :</w:t>
      </w:r>
      <w:proofErr w:type="gramEnd"/>
      <w:r w:rsidRPr="008B0C98">
        <w:rPr>
          <w:rFonts w:ascii="Times New Roman" w:eastAsia="Times New Roman" w:hAnsi="Times New Roman" w:cs="Times New Roman"/>
          <w:i/>
          <w:iCs/>
        </w:rPr>
        <w:t xml:space="preserve"> </w:t>
      </w:r>
      <w:r>
        <w:rPr>
          <w:rFonts w:ascii="Times New Roman" w:eastAsia="Times New Roman" w:hAnsi="Times New Roman" w:cs="Times New Roman"/>
          <w:i/>
          <w:iCs/>
        </w:rPr>
        <w:t xml:space="preserve">Karya </w:t>
      </w:r>
      <w:proofErr w:type="spellStart"/>
      <w:r>
        <w:rPr>
          <w:rFonts w:ascii="Times New Roman" w:eastAsia="Times New Roman" w:hAnsi="Times New Roman" w:cs="Times New Roman"/>
          <w:i/>
          <w:iCs/>
        </w:rPr>
        <w:t>penulis</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sendiri</w:t>
      </w:r>
      <w:proofErr w:type="spellEnd"/>
      <w:r w:rsidRPr="008B0C98">
        <w:rPr>
          <w:rFonts w:ascii="Times New Roman" w:eastAsia="Times New Roman" w:hAnsi="Times New Roman" w:cs="Times New Roman"/>
          <w:i/>
          <w:iCs/>
        </w:rPr>
        <w:t>, 2025</w:t>
      </w:r>
    </w:p>
    <w:p w14:paraId="721BD4AE" w14:textId="77777777" w:rsidR="00762A1D" w:rsidRPr="008B0C98" w:rsidRDefault="00000000">
      <w:pPr>
        <w:spacing w:before="240" w:after="240"/>
        <w:jc w:val="both"/>
        <w:rPr>
          <w:rFonts w:ascii="Times New Roman" w:eastAsia="Times New Roman" w:hAnsi="Times New Roman" w:cs="Times New Roman"/>
          <w:lang w:val="nl-NL"/>
        </w:rPr>
      </w:pPr>
      <w:r w:rsidRPr="00CB1162">
        <w:rPr>
          <w:rFonts w:ascii="Times New Roman" w:eastAsia="Times New Roman" w:hAnsi="Times New Roman" w:cs="Times New Roman"/>
        </w:rPr>
        <w:t xml:space="preserve">Di </w:t>
      </w:r>
      <w:proofErr w:type="spellStart"/>
      <w:r w:rsidRPr="00CB1162">
        <w:rPr>
          <w:rFonts w:ascii="Times New Roman" w:eastAsia="Times New Roman" w:hAnsi="Times New Roman" w:cs="Times New Roman"/>
        </w:rPr>
        <w:t>kawasan</w:t>
      </w:r>
      <w:proofErr w:type="spellEnd"/>
      <w:r w:rsidRPr="00CB1162">
        <w:rPr>
          <w:rFonts w:ascii="Times New Roman" w:eastAsia="Times New Roman" w:hAnsi="Times New Roman" w:cs="Times New Roman"/>
        </w:rPr>
        <w:t xml:space="preserve"> </w:t>
      </w:r>
      <w:proofErr w:type="spellStart"/>
      <w:r w:rsidRPr="00CB1162">
        <w:rPr>
          <w:rFonts w:ascii="Times New Roman" w:eastAsia="Times New Roman" w:hAnsi="Times New Roman" w:cs="Times New Roman"/>
        </w:rPr>
        <w:t>Eropa</w:t>
      </w:r>
      <w:proofErr w:type="spellEnd"/>
      <w:r w:rsidRPr="00CB1162">
        <w:rPr>
          <w:rFonts w:ascii="Times New Roman" w:eastAsia="Times New Roman" w:hAnsi="Times New Roman" w:cs="Times New Roman"/>
        </w:rPr>
        <w:t xml:space="preserve">, </w:t>
      </w:r>
      <w:proofErr w:type="spellStart"/>
      <w:r w:rsidRPr="00CB1162">
        <w:rPr>
          <w:rFonts w:ascii="Times New Roman" w:eastAsia="Times New Roman" w:hAnsi="Times New Roman" w:cs="Times New Roman"/>
        </w:rPr>
        <w:t>beberapa</w:t>
      </w:r>
      <w:proofErr w:type="spellEnd"/>
      <w:r w:rsidRPr="00CB1162">
        <w:rPr>
          <w:rFonts w:ascii="Times New Roman" w:eastAsia="Times New Roman" w:hAnsi="Times New Roman" w:cs="Times New Roman"/>
        </w:rPr>
        <w:t xml:space="preserve"> negara </w:t>
      </w:r>
      <w:proofErr w:type="spellStart"/>
      <w:r w:rsidRPr="00CB1162">
        <w:rPr>
          <w:rFonts w:ascii="Times New Roman" w:eastAsia="Times New Roman" w:hAnsi="Times New Roman" w:cs="Times New Roman"/>
        </w:rPr>
        <w:t>menunjukkan</w:t>
      </w:r>
      <w:proofErr w:type="spellEnd"/>
      <w:r w:rsidRPr="00CB1162">
        <w:rPr>
          <w:rFonts w:ascii="Times New Roman" w:eastAsia="Times New Roman" w:hAnsi="Times New Roman" w:cs="Times New Roman"/>
        </w:rPr>
        <w:t xml:space="preserve"> </w:t>
      </w:r>
      <w:proofErr w:type="spellStart"/>
      <w:r w:rsidRPr="00CB1162">
        <w:rPr>
          <w:rFonts w:ascii="Times New Roman" w:eastAsia="Times New Roman" w:hAnsi="Times New Roman" w:cs="Times New Roman"/>
        </w:rPr>
        <w:t>aktivitas</w:t>
      </w:r>
      <w:proofErr w:type="spellEnd"/>
      <w:r w:rsidRPr="00CB1162">
        <w:rPr>
          <w:rFonts w:ascii="Times New Roman" w:eastAsia="Times New Roman" w:hAnsi="Times New Roman" w:cs="Times New Roman"/>
        </w:rPr>
        <w:t xml:space="preserve"> </w:t>
      </w:r>
      <w:proofErr w:type="spellStart"/>
      <w:r w:rsidRPr="00CB1162">
        <w:rPr>
          <w:rFonts w:ascii="Times New Roman" w:eastAsia="Times New Roman" w:hAnsi="Times New Roman" w:cs="Times New Roman"/>
        </w:rPr>
        <w:t>penelitian</w:t>
      </w:r>
      <w:proofErr w:type="spellEnd"/>
      <w:r w:rsidRPr="00CB1162">
        <w:rPr>
          <w:rFonts w:ascii="Times New Roman" w:eastAsia="Times New Roman" w:hAnsi="Times New Roman" w:cs="Times New Roman"/>
        </w:rPr>
        <w:t xml:space="preserve"> yang </w:t>
      </w:r>
      <w:proofErr w:type="spellStart"/>
      <w:r w:rsidRPr="00CB1162">
        <w:rPr>
          <w:rFonts w:ascii="Times New Roman" w:eastAsia="Times New Roman" w:hAnsi="Times New Roman" w:cs="Times New Roman"/>
        </w:rPr>
        <w:t>tinggi</w:t>
      </w:r>
      <w:proofErr w:type="spellEnd"/>
      <w:r w:rsidRPr="00CB1162">
        <w:rPr>
          <w:rFonts w:ascii="Times New Roman" w:eastAsia="Times New Roman" w:hAnsi="Times New Roman" w:cs="Times New Roman"/>
        </w:rPr>
        <w:t xml:space="preserve">, di </w:t>
      </w:r>
      <w:proofErr w:type="spellStart"/>
      <w:r w:rsidRPr="00CB1162">
        <w:rPr>
          <w:rFonts w:ascii="Times New Roman" w:eastAsia="Times New Roman" w:hAnsi="Times New Roman" w:cs="Times New Roman"/>
        </w:rPr>
        <w:t>antaranya</w:t>
      </w:r>
      <w:proofErr w:type="spellEnd"/>
      <w:r w:rsidRPr="00CB1162">
        <w:rPr>
          <w:rFonts w:ascii="Times New Roman" w:eastAsia="Times New Roman" w:hAnsi="Times New Roman" w:cs="Times New Roman"/>
        </w:rPr>
        <w:t xml:space="preserve"> </w:t>
      </w:r>
      <w:proofErr w:type="spellStart"/>
      <w:r w:rsidRPr="00CB1162">
        <w:rPr>
          <w:rFonts w:ascii="Times New Roman" w:eastAsia="Times New Roman" w:hAnsi="Times New Roman" w:cs="Times New Roman"/>
        </w:rPr>
        <w:t>Inggris</w:t>
      </w:r>
      <w:proofErr w:type="spellEnd"/>
      <w:r w:rsidRPr="00CB1162">
        <w:rPr>
          <w:rFonts w:ascii="Times New Roman" w:eastAsia="Times New Roman" w:hAnsi="Times New Roman" w:cs="Times New Roman"/>
        </w:rPr>
        <w:t xml:space="preserve"> (United Kingdom) </w:t>
      </w:r>
      <w:proofErr w:type="spellStart"/>
      <w:r w:rsidRPr="00CB1162">
        <w:rPr>
          <w:rFonts w:ascii="Times New Roman" w:eastAsia="Times New Roman" w:hAnsi="Times New Roman" w:cs="Times New Roman"/>
        </w:rPr>
        <w:t>dengan</w:t>
      </w:r>
      <w:proofErr w:type="spellEnd"/>
      <w:r w:rsidRPr="00CB1162">
        <w:rPr>
          <w:rFonts w:ascii="Times New Roman" w:eastAsia="Times New Roman" w:hAnsi="Times New Roman" w:cs="Times New Roman"/>
        </w:rPr>
        <w:t xml:space="preserve"> 55 </w:t>
      </w:r>
      <w:proofErr w:type="spellStart"/>
      <w:r w:rsidRPr="00CB1162">
        <w:rPr>
          <w:rFonts w:ascii="Times New Roman" w:eastAsia="Times New Roman" w:hAnsi="Times New Roman" w:cs="Times New Roman"/>
        </w:rPr>
        <w:t>publikasi</w:t>
      </w:r>
      <w:proofErr w:type="spellEnd"/>
      <w:r w:rsidRPr="00CB1162">
        <w:rPr>
          <w:rFonts w:ascii="Times New Roman" w:eastAsia="Times New Roman" w:hAnsi="Times New Roman" w:cs="Times New Roman"/>
        </w:rPr>
        <w:t xml:space="preserve">, Jerman </w:t>
      </w:r>
      <w:proofErr w:type="spellStart"/>
      <w:r w:rsidRPr="00CB1162">
        <w:rPr>
          <w:rFonts w:ascii="Times New Roman" w:eastAsia="Times New Roman" w:hAnsi="Times New Roman" w:cs="Times New Roman"/>
        </w:rPr>
        <w:t>dengan</w:t>
      </w:r>
      <w:proofErr w:type="spellEnd"/>
      <w:r w:rsidRPr="00CB1162">
        <w:rPr>
          <w:rFonts w:ascii="Times New Roman" w:eastAsia="Times New Roman" w:hAnsi="Times New Roman" w:cs="Times New Roman"/>
        </w:rPr>
        <w:t xml:space="preserve"> 51, dan Italia </w:t>
      </w:r>
      <w:proofErr w:type="spellStart"/>
      <w:r w:rsidRPr="00CB1162">
        <w:rPr>
          <w:rFonts w:ascii="Times New Roman" w:eastAsia="Times New Roman" w:hAnsi="Times New Roman" w:cs="Times New Roman"/>
        </w:rPr>
        <w:t>dengan</w:t>
      </w:r>
      <w:proofErr w:type="spellEnd"/>
      <w:r w:rsidRPr="00CB1162">
        <w:rPr>
          <w:rFonts w:ascii="Times New Roman" w:eastAsia="Times New Roman" w:hAnsi="Times New Roman" w:cs="Times New Roman"/>
        </w:rPr>
        <w:t xml:space="preserve"> 40. </w:t>
      </w:r>
      <w:r w:rsidRPr="008B0C98">
        <w:rPr>
          <w:rFonts w:ascii="Times New Roman" w:eastAsia="Times New Roman" w:hAnsi="Times New Roman" w:cs="Times New Roman"/>
          <w:lang w:val="nl-NL"/>
        </w:rPr>
        <w:t>Kehadiran negara-negara ini mencerminkan kuatnya kebijakan dan kesadaran lingkungan di Uni Eropa, yang mendorong penelitian dan investasi di sektor hijau.</w:t>
      </w:r>
    </w:p>
    <w:p w14:paraId="30BAFF10" w14:textId="77777777" w:rsidR="00762A1D" w:rsidRPr="008B0C98" w:rsidRDefault="00000000">
      <w:pPr>
        <w:spacing w:before="240" w:after="240"/>
        <w:jc w:val="both"/>
        <w:rPr>
          <w:rFonts w:ascii="Times New Roman" w:eastAsia="Times New Roman" w:hAnsi="Times New Roman" w:cs="Times New Roman"/>
          <w:lang w:val="nl-NL"/>
        </w:rPr>
      </w:pPr>
      <w:r w:rsidRPr="008B0C98">
        <w:rPr>
          <w:rFonts w:ascii="Times New Roman" w:eastAsia="Times New Roman" w:hAnsi="Times New Roman" w:cs="Times New Roman"/>
          <w:lang w:val="nl-NL"/>
        </w:rPr>
        <w:t>Selain itu, terdapat kontribusi yang menonjol dari India (102 publikasi), menunjukkan bahwa negara-negara berkembang juga semakin aktif dalam penelitian ini. Partisipasi aktif dari negara-negara seperti India dan Tiongkok mengindikasikan bahwa isu investasi hijau menjadi sangat relevan bagi negara-negara dengan pertumbuhan ekonomi yang pesat.</w:t>
      </w:r>
    </w:p>
    <w:p w14:paraId="43BA8260" w14:textId="3178A78C" w:rsidR="00762A1D" w:rsidRPr="008B0C98" w:rsidRDefault="00000000" w:rsidP="008B0C98">
      <w:pPr>
        <w:spacing w:before="240" w:after="240"/>
        <w:jc w:val="both"/>
        <w:rPr>
          <w:rFonts w:ascii="Times New Roman" w:eastAsia="Times New Roman" w:hAnsi="Times New Roman" w:cs="Times New Roman"/>
          <w:lang w:val="nl-NL"/>
        </w:rPr>
      </w:pPr>
      <w:r w:rsidRPr="008B0C98">
        <w:rPr>
          <w:rFonts w:ascii="Times New Roman" w:eastAsia="Times New Roman" w:hAnsi="Times New Roman" w:cs="Times New Roman"/>
          <w:lang w:val="nl-NL"/>
        </w:rPr>
        <w:t>Secara keseluruhan, peta ini menggambarkan bahwa penelitian investasi hijau merupakan topik global yang menarik partisipasi dari berbagai belahan dunia. Namun, kontribusi paling signifikan terkonsentrasi di negara-negara dengan ekonomi besar dan kebijakan yang mendukung transisi menuju keberlanjutan.</w:t>
      </w:r>
    </w:p>
    <w:p w14:paraId="6528828D" w14:textId="77777777" w:rsidR="00762A1D" w:rsidRPr="007F699A" w:rsidRDefault="00000000">
      <w:pPr>
        <w:jc w:val="both"/>
        <w:rPr>
          <w:rFonts w:ascii="Times New Roman" w:eastAsia="Times New Roman" w:hAnsi="Times New Roman" w:cs="Times New Roman"/>
          <w:b/>
          <w:lang w:val="nl-NL"/>
        </w:rPr>
      </w:pPr>
      <w:r w:rsidRPr="007F699A">
        <w:rPr>
          <w:rFonts w:ascii="Times New Roman" w:eastAsia="Times New Roman" w:hAnsi="Times New Roman" w:cs="Times New Roman"/>
          <w:b/>
          <w:lang w:val="nl-NL"/>
        </w:rPr>
        <w:t>Distribusi Artikel Berdasarkan Jurnal</w:t>
      </w:r>
    </w:p>
    <w:p w14:paraId="0CB6CB5A" w14:textId="7F98EB91" w:rsidR="008B0C98" w:rsidRPr="00CB1162" w:rsidRDefault="008B0C98" w:rsidP="00CB1162">
      <w:pPr>
        <w:spacing w:before="240" w:after="240"/>
        <w:jc w:val="both"/>
        <w:rPr>
          <w:rFonts w:ascii="Times New Roman" w:eastAsia="Times New Roman" w:hAnsi="Times New Roman" w:cs="Times New Roman"/>
        </w:rPr>
      </w:pPr>
      <w:r w:rsidRPr="008B0C98">
        <w:rPr>
          <w:rFonts w:ascii="Times New Roman" w:eastAsia="Times New Roman" w:hAnsi="Times New Roman" w:cs="Times New Roman"/>
          <w:lang w:val="nl-NL"/>
        </w:rPr>
        <w:t xml:space="preserve">Grafik ini menunjukkan dominasi beberapa jurnal dalam menerbitkan artikel-artikel mengenai investasi hijau. </w:t>
      </w:r>
      <w:proofErr w:type="spellStart"/>
      <w:r w:rsidRPr="008B0C98">
        <w:rPr>
          <w:rFonts w:ascii="Times New Roman" w:eastAsia="Times New Roman" w:hAnsi="Times New Roman" w:cs="Times New Roman"/>
        </w:rPr>
        <w:t>Jurnal</w:t>
      </w:r>
      <w:proofErr w:type="spellEnd"/>
      <w:r w:rsidRPr="008B0C98">
        <w:rPr>
          <w:rFonts w:ascii="Times New Roman" w:eastAsia="Times New Roman" w:hAnsi="Times New Roman" w:cs="Times New Roman"/>
        </w:rPr>
        <w:t xml:space="preserve"> yang paling </w:t>
      </w:r>
      <w:proofErr w:type="spellStart"/>
      <w:r w:rsidRPr="008B0C98">
        <w:rPr>
          <w:rFonts w:ascii="Times New Roman" w:eastAsia="Times New Roman" w:hAnsi="Times New Roman" w:cs="Times New Roman"/>
        </w:rPr>
        <w:t>menonjol</w:t>
      </w:r>
      <w:proofErr w:type="spellEnd"/>
      <w:r w:rsidRPr="008B0C98">
        <w:rPr>
          <w:rFonts w:ascii="Times New Roman" w:eastAsia="Times New Roman" w:hAnsi="Times New Roman" w:cs="Times New Roman"/>
        </w:rPr>
        <w:t xml:space="preserve"> dan </w:t>
      </w:r>
      <w:proofErr w:type="spellStart"/>
      <w:r w:rsidRPr="008B0C98">
        <w:rPr>
          <w:rFonts w:ascii="Times New Roman" w:eastAsia="Times New Roman" w:hAnsi="Times New Roman" w:cs="Times New Roman"/>
        </w:rPr>
        <w:t>memimpin</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dalam</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publikasi</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adalah</w:t>
      </w:r>
      <w:proofErr w:type="spellEnd"/>
      <w:r w:rsidRPr="008B0C98">
        <w:rPr>
          <w:rFonts w:ascii="Times New Roman" w:eastAsia="Times New Roman" w:hAnsi="Times New Roman" w:cs="Times New Roman"/>
        </w:rPr>
        <w:t xml:space="preserve"> </w:t>
      </w:r>
      <w:r w:rsidRPr="008B0C98">
        <w:rPr>
          <w:rFonts w:ascii="Times New Roman" w:eastAsia="Times New Roman" w:hAnsi="Times New Roman" w:cs="Times New Roman"/>
          <w:i/>
          <w:iCs/>
        </w:rPr>
        <w:t>Journal of Cleaner Production</w:t>
      </w:r>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dengan</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jumlah</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artikel</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tertinggi</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hampir</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mencapai</w:t>
      </w:r>
      <w:proofErr w:type="spellEnd"/>
      <w:r w:rsidRPr="008B0C98">
        <w:rPr>
          <w:rFonts w:ascii="Times New Roman" w:eastAsia="Times New Roman" w:hAnsi="Times New Roman" w:cs="Times New Roman"/>
        </w:rPr>
        <w:t xml:space="preserve"> 80 </w:t>
      </w:r>
      <w:proofErr w:type="spellStart"/>
      <w:r w:rsidRPr="008B0C98">
        <w:rPr>
          <w:rFonts w:ascii="Times New Roman" w:eastAsia="Times New Roman" w:hAnsi="Times New Roman" w:cs="Times New Roman"/>
        </w:rPr>
        <w:t>publikasi</w:t>
      </w:r>
      <w:proofErr w:type="spellEnd"/>
      <w:r w:rsidRPr="008B0C98">
        <w:rPr>
          <w:rFonts w:ascii="Times New Roman" w:eastAsia="Times New Roman" w:hAnsi="Times New Roman" w:cs="Times New Roman"/>
        </w:rPr>
        <w:t xml:space="preserve">. Hal </w:t>
      </w:r>
      <w:proofErr w:type="spellStart"/>
      <w:r w:rsidRPr="008B0C98">
        <w:rPr>
          <w:rFonts w:ascii="Times New Roman" w:eastAsia="Times New Roman" w:hAnsi="Times New Roman" w:cs="Times New Roman"/>
        </w:rPr>
        <w:t>ini</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menunjukkan</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bahwa</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jurnal</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tersebut</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merupakan</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wadah</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utama</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bagi</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penelitian</w:t>
      </w:r>
      <w:proofErr w:type="spellEnd"/>
      <w:r w:rsidRPr="008B0C98">
        <w:rPr>
          <w:rFonts w:ascii="Times New Roman" w:eastAsia="Times New Roman" w:hAnsi="Times New Roman" w:cs="Times New Roman"/>
        </w:rPr>
        <w:t xml:space="preserve"> yang </w:t>
      </w:r>
      <w:proofErr w:type="spellStart"/>
      <w:r w:rsidRPr="008B0C98">
        <w:rPr>
          <w:rFonts w:ascii="Times New Roman" w:eastAsia="Times New Roman" w:hAnsi="Times New Roman" w:cs="Times New Roman"/>
        </w:rPr>
        <w:t>menggabungkan</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isu</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keberlanj</w:t>
      </w:r>
      <w:r w:rsidRPr="00CB1162">
        <w:rPr>
          <w:rFonts w:ascii="Times New Roman" w:eastAsia="Times New Roman" w:hAnsi="Times New Roman" w:cs="Times New Roman"/>
        </w:rPr>
        <w:t>utan</w:t>
      </w:r>
      <w:proofErr w:type="spellEnd"/>
      <w:r w:rsidRPr="00CB1162">
        <w:rPr>
          <w:rFonts w:ascii="Times New Roman" w:eastAsia="Times New Roman" w:hAnsi="Times New Roman" w:cs="Times New Roman"/>
        </w:rPr>
        <w:t xml:space="preserve">, </w:t>
      </w:r>
      <w:proofErr w:type="spellStart"/>
      <w:r w:rsidRPr="00CB1162">
        <w:rPr>
          <w:rFonts w:ascii="Times New Roman" w:eastAsia="Times New Roman" w:hAnsi="Times New Roman" w:cs="Times New Roman"/>
        </w:rPr>
        <w:t>lingkungan</w:t>
      </w:r>
      <w:proofErr w:type="spellEnd"/>
      <w:r w:rsidRPr="00CB1162">
        <w:rPr>
          <w:rFonts w:ascii="Times New Roman" w:eastAsia="Times New Roman" w:hAnsi="Times New Roman" w:cs="Times New Roman"/>
        </w:rPr>
        <w:t xml:space="preserve">, dan </w:t>
      </w:r>
      <w:proofErr w:type="spellStart"/>
      <w:r w:rsidRPr="00CB1162">
        <w:rPr>
          <w:rFonts w:ascii="Times New Roman" w:eastAsia="Times New Roman" w:hAnsi="Times New Roman" w:cs="Times New Roman"/>
        </w:rPr>
        <w:t>ekonomi</w:t>
      </w:r>
      <w:proofErr w:type="spellEnd"/>
      <w:r w:rsidRPr="00CB1162">
        <w:rPr>
          <w:rFonts w:ascii="Times New Roman" w:eastAsia="Times New Roman" w:hAnsi="Times New Roman" w:cs="Times New Roman"/>
        </w:rPr>
        <w:t xml:space="preserve">, </w:t>
      </w:r>
      <w:proofErr w:type="spellStart"/>
      <w:r w:rsidRPr="00CB1162">
        <w:rPr>
          <w:rFonts w:ascii="Times New Roman" w:eastAsia="Times New Roman" w:hAnsi="Times New Roman" w:cs="Times New Roman"/>
        </w:rPr>
        <w:t>termasuk</w:t>
      </w:r>
      <w:proofErr w:type="spellEnd"/>
      <w:r w:rsidRPr="00CB1162">
        <w:rPr>
          <w:rFonts w:ascii="Times New Roman" w:eastAsia="Times New Roman" w:hAnsi="Times New Roman" w:cs="Times New Roman"/>
        </w:rPr>
        <w:t xml:space="preserve"> di </w:t>
      </w:r>
      <w:proofErr w:type="spellStart"/>
      <w:r w:rsidRPr="00CB1162">
        <w:rPr>
          <w:rFonts w:ascii="Times New Roman" w:eastAsia="Times New Roman" w:hAnsi="Times New Roman" w:cs="Times New Roman"/>
        </w:rPr>
        <w:t>dalamnya</w:t>
      </w:r>
      <w:proofErr w:type="spellEnd"/>
      <w:r w:rsidRPr="00CB1162">
        <w:rPr>
          <w:rFonts w:ascii="Times New Roman" w:eastAsia="Times New Roman" w:hAnsi="Times New Roman" w:cs="Times New Roman"/>
        </w:rPr>
        <w:t xml:space="preserve"> </w:t>
      </w:r>
      <w:proofErr w:type="spellStart"/>
      <w:r w:rsidRPr="00CB1162">
        <w:rPr>
          <w:rFonts w:ascii="Times New Roman" w:eastAsia="Times New Roman" w:hAnsi="Times New Roman" w:cs="Times New Roman"/>
        </w:rPr>
        <w:t>aspek</w:t>
      </w:r>
      <w:proofErr w:type="spellEnd"/>
      <w:r w:rsidRPr="00CB1162">
        <w:rPr>
          <w:rFonts w:ascii="Times New Roman" w:eastAsia="Times New Roman" w:hAnsi="Times New Roman" w:cs="Times New Roman"/>
        </w:rPr>
        <w:t xml:space="preserve"> </w:t>
      </w:r>
      <w:proofErr w:type="spellStart"/>
      <w:r w:rsidRPr="00CB1162">
        <w:rPr>
          <w:rFonts w:ascii="Times New Roman" w:eastAsia="Times New Roman" w:hAnsi="Times New Roman" w:cs="Times New Roman"/>
        </w:rPr>
        <w:t>investasi</w:t>
      </w:r>
      <w:proofErr w:type="spellEnd"/>
      <w:r w:rsidRPr="00CB1162">
        <w:rPr>
          <w:rFonts w:ascii="Times New Roman" w:eastAsia="Times New Roman" w:hAnsi="Times New Roman" w:cs="Times New Roman"/>
        </w:rPr>
        <w:t xml:space="preserve"> </w:t>
      </w:r>
      <w:proofErr w:type="spellStart"/>
      <w:r w:rsidRPr="00CB1162">
        <w:rPr>
          <w:rFonts w:ascii="Times New Roman" w:eastAsia="Times New Roman" w:hAnsi="Times New Roman" w:cs="Times New Roman"/>
        </w:rPr>
        <w:t>hijau</w:t>
      </w:r>
      <w:proofErr w:type="spellEnd"/>
      <w:r w:rsidRPr="00CB1162">
        <w:rPr>
          <w:rFonts w:ascii="Times New Roman" w:eastAsia="Times New Roman" w:hAnsi="Times New Roman" w:cs="Times New Roman"/>
        </w:rPr>
        <w:t>.</w:t>
      </w:r>
    </w:p>
    <w:p w14:paraId="08819848" w14:textId="77777777" w:rsidR="00CB1162" w:rsidRPr="00CB1162" w:rsidRDefault="00CB1162" w:rsidP="00CB1162">
      <w:pPr>
        <w:spacing w:before="240" w:after="240"/>
        <w:jc w:val="both"/>
        <w:rPr>
          <w:rFonts w:ascii="Times New Roman" w:eastAsia="Times New Roman" w:hAnsi="Times New Roman" w:cs="Times New Roman"/>
        </w:rPr>
      </w:pPr>
    </w:p>
    <w:p w14:paraId="7F714D63" w14:textId="2716E70A" w:rsidR="008B0C98" w:rsidRPr="008B0C98" w:rsidRDefault="008B0C98" w:rsidP="008B0C98">
      <w:pPr>
        <w:jc w:val="center"/>
        <w:rPr>
          <w:rFonts w:ascii="Times New Roman" w:eastAsia="Times New Roman" w:hAnsi="Times New Roman" w:cs="Times New Roman"/>
          <w:bCs/>
        </w:rPr>
      </w:pPr>
      <w:r w:rsidRPr="008B0C98">
        <w:rPr>
          <w:rFonts w:ascii="Times New Roman" w:eastAsia="Times New Roman" w:hAnsi="Times New Roman" w:cs="Times New Roman"/>
          <w:b/>
        </w:rPr>
        <w:lastRenderedPageBreak/>
        <w:t>Gambar 3.</w:t>
      </w:r>
      <w:r w:rsidRPr="008B0C98">
        <w:rPr>
          <w:rFonts w:ascii="Times New Roman" w:eastAsia="Times New Roman" w:hAnsi="Times New Roman" w:cs="Times New Roman"/>
          <w:bCs/>
        </w:rPr>
        <w:t xml:space="preserve"> </w:t>
      </w:r>
      <w:r>
        <w:rPr>
          <w:rFonts w:ascii="Times New Roman" w:eastAsia="Times New Roman" w:hAnsi="Times New Roman" w:cs="Times New Roman"/>
          <w:bCs/>
        </w:rPr>
        <w:t xml:space="preserve">15 </w:t>
      </w:r>
      <w:proofErr w:type="spellStart"/>
      <w:r>
        <w:rPr>
          <w:rFonts w:ascii="Times New Roman" w:eastAsia="Times New Roman" w:hAnsi="Times New Roman" w:cs="Times New Roman"/>
          <w:bCs/>
        </w:rPr>
        <w:t>Jurnal</w:t>
      </w:r>
      <w:proofErr w:type="spellEnd"/>
      <w:r>
        <w:rPr>
          <w:rFonts w:ascii="Times New Roman" w:eastAsia="Times New Roman" w:hAnsi="Times New Roman" w:cs="Times New Roman"/>
          <w:bCs/>
        </w:rPr>
        <w:t xml:space="preserve"> </w:t>
      </w:r>
      <w:proofErr w:type="spellStart"/>
      <w:r>
        <w:rPr>
          <w:rFonts w:ascii="Times New Roman" w:eastAsia="Times New Roman" w:hAnsi="Times New Roman" w:cs="Times New Roman"/>
          <w:bCs/>
        </w:rPr>
        <w:t>teratas</w:t>
      </w:r>
      <w:proofErr w:type="spellEnd"/>
      <w:r>
        <w:rPr>
          <w:rFonts w:ascii="Times New Roman" w:eastAsia="Times New Roman" w:hAnsi="Times New Roman" w:cs="Times New Roman"/>
          <w:bCs/>
        </w:rPr>
        <w:t xml:space="preserve"> </w:t>
      </w:r>
      <w:proofErr w:type="spellStart"/>
      <w:r>
        <w:rPr>
          <w:rFonts w:ascii="Times New Roman" w:eastAsia="Times New Roman" w:hAnsi="Times New Roman" w:cs="Times New Roman"/>
          <w:bCs/>
        </w:rPr>
        <w:t>berdasarkan</w:t>
      </w:r>
      <w:proofErr w:type="spellEnd"/>
      <w:r>
        <w:rPr>
          <w:rFonts w:ascii="Times New Roman" w:eastAsia="Times New Roman" w:hAnsi="Times New Roman" w:cs="Times New Roman"/>
          <w:bCs/>
        </w:rPr>
        <w:t xml:space="preserve"> </w:t>
      </w:r>
      <w:proofErr w:type="spellStart"/>
      <w:r>
        <w:rPr>
          <w:rFonts w:ascii="Times New Roman" w:eastAsia="Times New Roman" w:hAnsi="Times New Roman" w:cs="Times New Roman"/>
          <w:bCs/>
        </w:rPr>
        <w:t>jumlah</w:t>
      </w:r>
      <w:proofErr w:type="spellEnd"/>
      <w:r>
        <w:rPr>
          <w:rFonts w:ascii="Times New Roman" w:eastAsia="Times New Roman" w:hAnsi="Times New Roman" w:cs="Times New Roman"/>
          <w:bCs/>
        </w:rPr>
        <w:t xml:space="preserve"> </w:t>
      </w:r>
      <w:proofErr w:type="spellStart"/>
      <w:r>
        <w:rPr>
          <w:rFonts w:ascii="Times New Roman" w:eastAsia="Times New Roman" w:hAnsi="Times New Roman" w:cs="Times New Roman"/>
          <w:bCs/>
        </w:rPr>
        <w:t>dokumen</w:t>
      </w:r>
      <w:proofErr w:type="spellEnd"/>
    </w:p>
    <w:p w14:paraId="4F38F4FF" w14:textId="77777777" w:rsidR="008B0C98" w:rsidRDefault="00000000" w:rsidP="008B0C98">
      <w:pPr>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1395B54" wp14:editId="6071705E">
            <wp:extent cx="5731510" cy="3324225"/>
            <wp:effectExtent l="0" t="0" r="0" b="0"/>
            <wp:docPr id="1943589263" name="image6.jpg" descr="A graph with blue ba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6.jpg" descr="A graph with blue bars&#10;&#10;AI-generated content may be incorrect."/>
                    <pic:cNvPicPr preferRelativeResize="0"/>
                  </pic:nvPicPr>
                  <pic:blipFill>
                    <a:blip r:embed="rId9"/>
                    <a:srcRect/>
                    <a:stretch>
                      <a:fillRect/>
                    </a:stretch>
                  </pic:blipFill>
                  <pic:spPr>
                    <a:xfrm>
                      <a:off x="0" y="0"/>
                      <a:ext cx="5731510" cy="3324225"/>
                    </a:xfrm>
                    <a:prstGeom prst="rect">
                      <a:avLst/>
                    </a:prstGeom>
                    <a:ln/>
                  </pic:spPr>
                </pic:pic>
              </a:graphicData>
            </a:graphic>
          </wp:inline>
        </w:drawing>
      </w:r>
      <w:proofErr w:type="spellStart"/>
      <w:proofErr w:type="gramStart"/>
      <w:r w:rsidR="008B0C98" w:rsidRPr="008B0C98">
        <w:rPr>
          <w:rFonts w:ascii="Times New Roman" w:eastAsia="Times New Roman" w:hAnsi="Times New Roman" w:cs="Times New Roman"/>
          <w:i/>
          <w:iCs/>
        </w:rPr>
        <w:t>Sumber</w:t>
      </w:r>
      <w:proofErr w:type="spellEnd"/>
      <w:r w:rsidR="008B0C98" w:rsidRPr="008B0C98">
        <w:rPr>
          <w:rFonts w:ascii="Times New Roman" w:eastAsia="Times New Roman" w:hAnsi="Times New Roman" w:cs="Times New Roman"/>
          <w:i/>
          <w:iCs/>
        </w:rPr>
        <w:t xml:space="preserve"> :</w:t>
      </w:r>
      <w:proofErr w:type="gramEnd"/>
      <w:r w:rsidR="008B0C98" w:rsidRPr="008B0C98">
        <w:rPr>
          <w:rFonts w:ascii="Times New Roman" w:eastAsia="Times New Roman" w:hAnsi="Times New Roman" w:cs="Times New Roman"/>
          <w:i/>
          <w:iCs/>
        </w:rPr>
        <w:t xml:space="preserve"> Scopus, 2025</w:t>
      </w:r>
      <w:r w:rsidR="008B0C98">
        <w:rPr>
          <w:rFonts w:ascii="Times New Roman" w:eastAsia="Times New Roman" w:hAnsi="Times New Roman" w:cs="Times New Roman"/>
        </w:rPr>
        <w:t xml:space="preserve"> </w:t>
      </w:r>
    </w:p>
    <w:p w14:paraId="62A50536" w14:textId="38CDEE3A" w:rsidR="00762A1D" w:rsidRPr="008B0C98" w:rsidRDefault="00000000" w:rsidP="008B0C98">
      <w:pPr>
        <w:jc w:val="both"/>
        <w:rPr>
          <w:rFonts w:ascii="Times New Roman" w:eastAsia="Times New Roman" w:hAnsi="Times New Roman" w:cs="Times New Roman"/>
        </w:rPr>
      </w:pPr>
      <w:proofErr w:type="spellStart"/>
      <w:r w:rsidRPr="008B0C98">
        <w:rPr>
          <w:rFonts w:ascii="Times New Roman" w:eastAsia="Times New Roman" w:hAnsi="Times New Roman" w:cs="Times New Roman"/>
        </w:rPr>
        <w:t>Setelah</w:t>
      </w:r>
      <w:proofErr w:type="spellEnd"/>
      <w:r w:rsidRPr="008B0C98">
        <w:rPr>
          <w:rFonts w:ascii="Times New Roman" w:eastAsia="Times New Roman" w:hAnsi="Times New Roman" w:cs="Times New Roman"/>
        </w:rPr>
        <w:t xml:space="preserve"> </w:t>
      </w:r>
      <w:r w:rsidRPr="008B0C98">
        <w:rPr>
          <w:rFonts w:ascii="Times New Roman" w:eastAsia="Times New Roman" w:hAnsi="Times New Roman" w:cs="Times New Roman"/>
          <w:i/>
          <w:iCs/>
        </w:rPr>
        <w:t>Journal of Cleaner Production</w:t>
      </w:r>
      <w:r w:rsidRPr="008B0C98">
        <w:rPr>
          <w:rFonts w:ascii="Times New Roman" w:eastAsia="Times New Roman" w:hAnsi="Times New Roman" w:cs="Times New Roman"/>
        </w:rPr>
        <w:t xml:space="preserve">, posisi kedua ditempati oleh </w:t>
      </w:r>
      <w:r w:rsidRPr="008B0C98">
        <w:rPr>
          <w:rFonts w:ascii="Times New Roman" w:eastAsia="Times New Roman" w:hAnsi="Times New Roman" w:cs="Times New Roman"/>
          <w:i/>
          <w:iCs/>
        </w:rPr>
        <w:t>Humanities and Social Sciences Communications</w:t>
      </w:r>
      <w:r w:rsidRPr="008B0C98">
        <w:rPr>
          <w:rFonts w:ascii="Times New Roman" w:eastAsia="Times New Roman" w:hAnsi="Times New Roman" w:cs="Times New Roman"/>
        </w:rPr>
        <w:t xml:space="preserve"> dengan jumlah publikasi yang signifikan, mencapai sekitar 40 artikel. Kehadiran jurnal ini mengindikasikan bahwa topik investasi hijau tidak hanya dibahas dari perspektif teknis atau ekonomi, tetapi juga dari sudut pandang sosial dan humaniora.</w:t>
      </w:r>
    </w:p>
    <w:p w14:paraId="6FC5C766" w14:textId="77777777" w:rsidR="00762A1D" w:rsidRPr="008B0C98" w:rsidRDefault="00000000">
      <w:pPr>
        <w:spacing w:before="240" w:after="240"/>
        <w:jc w:val="both"/>
        <w:rPr>
          <w:rFonts w:ascii="Times New Roman" w:eastAsia="Times New Roman" w:hAnsi="Times New Roman" w:cs="Times New Roman"/>
        </w:rPr>
      </w:pPr>
      <w:r w:rsidRPr="008B0C98">
        <w:rPr>
          <w:rFonts w:ascii="Times New Roman" w:eastAsia="Times New Roman" w:hAnsi="Times New Roman" w:cs="Times New Roman"/>
        </w:rPr>
        <w:t xml:space="preserve">Posisi berikutnya ditempati oleh </w:t>
      </w:r>
      <w:r w:rsidRPr="008B0C98">
        <w:rPr>
          <w:rFonts w:ascii="Times New Roman" w:eastAsia="Times New Roman" w:hAnsi="Times New Roman" w:cs="Times New Roman"/>
          <w:i/>
          <w:iCs/>
        </w:rPr>
        <w:t>Business Strategy and the Environment</w:t>
      </w:r>
      <w:r w:rsidRPr="008B0C98">
        <w:rPr>
          <w:rFonts w:ascii="Times New Roman" w:eastAsia="Times New Roman" w:hAnsi="Times New Roman" w:cs="Times New Roman"/>
        </w:rPr>
        <w:t xml:space="preserve"> dan </w:t>
      </w:r>
      <w:r w:rsidRPr="008B0C98">
        <w:rPr>
          <w:rFonts w:ascii="Times New Roman" w:eastAsia="Times New Roman" w:hAnsi="Times New Roman" w:cs="Times New Roman"/>
          <w:i/>
          <w:iCs/>
        </w:rPr>
        <w:t>Journal of Risk and Financial Management,</w:t>
      </w:r>
      <w:r w:rsidRPr="008B0C98">
        <w:rPr>
          <w:rFonts w:ascii="Times New Roman" w:eastAsia="Times New Roman" w:hAnsi="Times New Roman" w:cs="Times New Roman"/>
        </w:rPr>
        <w:t xml:space="preserve"> yang masing-masing menerbitkan sekitar 25-30 artikel. </w:t>
      </w:r>
      <w:r w:rsidRPr="008B0C98">
        <w:rPr>
          <w:rFonts w:ascii="Times New Roman" w:eastAsia="Times New Roman" w:hAnsi="Times New Roman" w:cs="Times New Roman"/>
          <w:lang w:val="nl-NL"/>
        </w:rPr>
        <w:t xml:space="preserve">Keterlibatan kedua jurnal ini menekankan bahwa strategi bisnis, manajemen risiko, dan aspek keuangan merupakan elemen kunci dalam penelitian investasi hijau. </w:t>
      </w:r>
      <w:proofErr w:type="spellStart"/>
      <w:r w:rsidRPr="008B0C98">
        <w:rPr>
          <w:rFonts w:ascii="Times New Roman" w:eastAsia="Times New Roman" w:hAnsi="Times New Roman" w:cs="Times New Roman"/>
        </w:rPr>
        <w:t>Jurnal-jurnal</w:t>
      </w:r>
      <w:proofErr w:type="spellEnd"/>
      <w:r w:rsidRPr="008B0C98">
        <w:rPr>
          <w:rFonts w:ascii="Times New Roman" w:eastAsia="Times New Roman" w:hAnsi="Times New Roman" w:cs="Times New Roman"/>
        </w:rPr>
        <w:t xml:space="preserve"> lain </w:t>
      </w:r>
      <w:proofErr w:type="spellStart"/>
      <w:r w:rsidRPr="008B0C98">
        <w:rPr>
          <w:rFonts w:ascii="Times New Roman" w:eastAsia="Times New Roman" w:hAnsi="Times New Roman" w:cs="Times New Roman"/>
        </w:rPr>
        <w:t>seperti</w:t>
      </w:r>
      <w:proofErr w:type="spellEnd"/>
      <w:r w:rsidRPr="008B0C98">
        <w:rPr>
          <w:rFonts w:ascii="Times New Roman" w:eastAsia="Times New Roman" w:hAnsi="Times New Roman" w:cs="Times New Roman"/>
        </w:rPr>
        <w:t xml:space="preserve"> </w:t>
      </w:r>
      <w:r w:rsidRPr="008B0C98">
        <w:rPr>
          <w:rFonts w:ascii="Times New Roman" w:eastAsia="Times New Roman" w:hAnsi="Times New Roman" w:cs="Times New Roman"/>
          <w:i/>
          <w:iCs/>
        </w:rPr>
        <w:t>Technological Forecasting</w:t>
      </w:r>
      <w:r w:rsidRPr="008B0C98">
        <w:rPr>
          <w:rFonts w:ascii="Times New Roman" w:eastAsia="Times New Roman" w:hAnsi="Times New Roman" w:cs="Times New Roman"/>
        </w:rPr>
        <w:t xml:space="preserve"> and </w:t>
      </w:r>
      <w:r w:rsidRPr="008B0C98">
        <w:rPr>
          <w:rFonts w:ascii="Times New Roman" w:eastAsia="Times New Roman" w:hAnsi="Times New Roman" w:cs="Times New Roman"/>
          <w:i/>
          <w:iCs/>
        </w:rPr>
        <w:t>Social Change</w:t>
      </w:r>
      <w:r w:rsidRPr="008B0C98">
        <w:rPr>
          <w:rFonts w:ascii="Times New Roman" w:eastAsia="Times New Roman" w:hAnsi="Times New Roman" w:cs="Times New Roman"/>
        </w:rPr>
        <w:t xml:space="preserve"> dan </w:t>
      </w:r>
      <w:r w:rsidRPr="008B0C98">
        <w:rPr>
          <w:rFonts w:ascii="Times New Roman" w:eastAsia="Times New Roman" w:hAnsi="Times New Roman" w:cs="Times New Roman"/>
          <w:i/>
          <w:iCs/>
        </w:rPr>
        <w:t>Innovation and Green Development</w:t>
      </w:r>
      <w:r w:rsidRPr="008B0C98">
        <w:rPr>
          <w:rFonts w:ascii="Times New Roman" w:eastAsia="Times New Roman" w:hAnsi="Times New Roman" w:cs="Times New Roman"/>
        </w:rPr>
        <w:t xml:space="preserve"> juga menunjukkan kontribusi yang aktif, menyoroti aspek inovasi dan perubahan teknologi sebagai pendorong investasi hijau.</w:t>
      </w:r>
    </w:p>
    <w:p w14:paraId="651CE885" w14:textId="571BB0E1" w:rsidR="00762A1D" w:rsidRPr="008B0C98" w:rsidRDefault="00000000" w:rsidP="008B0C98">
      <w:pPr>
        <w:spacing w:before="240" w:after="240"/>
        <w:jc w:val="both"/>
        <w:rPr>
          <w:rFonts w:ascii="Times New Roman" w:eastAsia="Times New Roman" w:hAnsi="Times New Roman" w:cs="Times New Roman"/>
          <w:lang w:val="nl-NL"/>
        </w:rPr>
      </w:pPr>
      <w:r w:rsidRPr="008B0C98">
        <w:rPr>
          <w:rFonts w:ascii="Times New Roman" w:eastAsia="Times New Roman" w:hAnsi="Times New Roman" w:cs="Times New Roman"/>
        </w:rPr>
        <w:t xml:space="preserve">Secara keseluruhan, distribusi artikel menunjukkan bahwa penelitian tentang investasi hijau bersifat interdisipliner. Jurnal-jurnal terkemuka yang aktif dalam domain ini berasal dari berbagai bidang, seperti ilmu lingkungan, ilmu sosial, manajemen bisnis, dan keuangan. </w:t>
      </w:r>
      <w:r w:rsidRPr="008B0C98">
        <w:rPr>
          <w:rFonts w:ascii="Times New Roman" w:eastAsia="Times New Roman" w:hAnsi="Times New Roman" w:cs="Times New Roman"/>
          <w:lang w:val="nl-NL"/>
        </w:rPr>
        <w:t>Hal ini mencerminkan kompleksitas topik investasi hijau yang mencakup dimensi ekonomi, lingkungan, dan sosial secara bersamaan.</w:t>
      </w:r>
    </w:p>
    <w:p w14:paraId="21111D45" w14:textId="77777777" w:rsidR="00762A1D" w:rsidRPr="007F699A" w:rsidRDefault="00000000">
      <w:pPr>
        <w:jc w:val="both"/>
        <w:rPr>
          <w:rFonts w:ascii="Times New Roman" w:eastAsia="Times New Roman" w:hAnsi="Times New Roman" w:cs="Times New Roman"/>
          <w:b/>
          <w:lang w:val="nl-NL"/>
        </w:rPr>
      </w:pPr>
      <w:r w:rsidRPr="007F699A">
        <w:rPr>
          <w:rFonts w:ascii="Times New Roman" w:eastAsia="Times New Roman" w:hAnsi="Times New Roman" w:cs="Times New Roman"/>
          <w:b/>
          <w:lang w:val="nl-NL"/>
        </w:rPr>
        <w:t>Pola Kolaborasi Berdasarkan Negara Penulis Korespondensi</w:t>
      </w:r>
    </w:p>
    <w:p w14:paraId="61A75A96" w14:textId="77777777" w:rsidR="008B0C98" w:rsidRPr="008B0C98" w:rsidRDefault="008B0C98" w:rsidP="008B0C98">
      <w:pPr>
        <w:jc w:val="both"/>
        <w:rPr>
          <w:rFonts w:ascii="Times New Roman" w:eastAsia="Times New Roman" w:hAnsi="Times New Roman" w:cs="Times New Roman"/>
          <w:lang w:val="nl-NL"/>
        </w:rPr>
      </w:pPr>
      <w:r w:rsidRPr="007F699A">
        <w:rPr>
          <w:rFonts w:ascii="Times New Roman" w:eastAsia="Times New Roman" w:hAnsi="Times New Roman" w:cs="Times New Roman"/>
          <w:lang w:val="nl-NL"/>
        </w:rPr>
        <w:t xml:space="preserve">Hasil bibliometrik menunjukkan bahwa afiliasi penulis korespondensi yang tersebar di berbagai negara sangat memengaruhi pola kolaborasi penelitian investasi hijau. </w:t>
      </w:r>
      <w:r w:rsidRPr="008B0C98">
        <w:rPr>
          <w:rFonts w:ascii="Times New Roman" w:eastAsia="Times New Roman" w:hAnsi="Times New Roman" w:cs="Times New Roman"/>
          <w:lang w:val="nl-NL"/>
        </w:rPr>
        <w:t xml:space="preserve">Universitas Zhejiang Yuexiu of Foreign Languages (17 artikel), Universitas Normal Sichuan (14 artikel), dan Norges Teknisk-Naturvitenskapelige Universitet (13 artikel) adalah beberapa universitas </w:t>
      </w:r>
      <w:r w:rsidRPr="008B0C98">
        <w:rPr>
          <w:rFonts w:ascii="Times New Roman" w:eastAsia="Times New Roman" w:hAnsi="Times New Roman" w:cs="Times New Roman"/>
          <w:lang w:val="nl-NL"/>
        </w:rPr>
        <w:lastRenderedPageBreak/>
        <w:t>dengan kontribusi tertinggi dalam publikasi. Seperti yang ditunjukkan oleh dominasi institusi China, negara tersebut tidak hanya menjadi pusat penelitian tetapi juga menjadi motor penggerak kerja sama akademik global di bidang investasi hijau.</w:t>
      </w:r>
    </w:p>
    <w:p w14:paraId="08F60841" w14:textId="27AB2F08" w:rsidR="008B0C98" w:rsidRPr="007F699A" w:rsidRDefault="008B0C98" w:rsidP="008B0C98">
      <w:pPr>
        <w:jc w:val="center"/>
        <w:rPr>
          <w:rFonts w:ascii="Times New Roman" w:eastAsia="Times New Roman" w:hAnsi="Times New Roman" w:cs="Times New Roman"/>
          <w:b/>
          <w:lang w:val="nl-NL"/>
        </w:rPr>
      </w:pPr>
      <w:r>
        <w:rPr>
          <w:rFonts w:ascii="Times New Roman" w:eastAsia="Times New Roman" w:hAnsi="Times New Roman" w:cs="Times New Roman"/>
          <w:noProof/>
        </w:rPr>
        <w:drawing>
          <wp:anchor distT="0" distB="0" distL="114300" distR="114300" simplePos="0" relativeHeight="251658240" behindDoc="1" locked="0" layoutInCell="1" allowOverlap="1" wp14:anchorId="7AF0B198" wp14:editId="4767A41B">
            <wp:simplePos x="0" y="0"/>
            <wp:positionH relativeFrom="column">
              <wp:posOffset>859387</wp:posOffset>
            </wp:positionH>
            <wp:positionV relativeFrom="paragraph">
              <wp:posOffset>221885</wp:posOffset>
            </wp:positionV>
            <wp:extent cx="4224020" cy="2954020"/>
            <wp:effectExtent l="0" t="0" r="5080" b="0"/>
            <wp:wrapTight wrapText="bothSides">
              <wp:wrapPolygon edited="0">
                <wp:start x="9060" y="0"/>
                <wp:lineTo x="9060" y="279"/>
                <wp:lineTo x="9644" y="2368"/>
                <wp:lineTo x="682" y="2507"/>
                <wp:lineTo x="292" y="2647"/>
                <wp:lineTo x="292" y="6686"/>
                <wp:lineTo x="9644" y="6825"/>
                <wp:lineTo x="390" y="7940"/>
                <wp:lineTo x="390" y="8497"/>
                <wp:lineTo x="9644" y="9054"/>
                <wp:lineTo x="390" y="9333"/>
                <wp:lineTo x="0" y="9472"/>
                <wp:lineTo x="0" y="11283"/>
                <wp:lineTo x="292" y="15601"/>
                <wp:lineTo x="584" y="15740"/>
                <wp:lineTo x="9644" y="15740"/>
                <wp:lineTo x="390" y="16994"/>
                <wp:lineTo x="390" y="17551"/>
                <wp:lineTo x="9644" y="17969"/>
                <wp:lineTo x="390" y="18666"/>
                <wp:lineTo x="390" y="19501"/>
                <wp:lineTo x="10813" y="20198"/>
                <wp:lineTo x="9547" y="20198"/>
                <wp:lineTo x="9644" y="20894"/>
                <wp:lineTo x="14612" y="21451"/>
                <wp:lineTo x="16073" y="21451"/>
                <wp:lineTo x="19970" y="20894"/>
                <wp:lineTo x="19775" y="20198"/>
                <wp:lineTo x="21041" y="20198"/>
                <wp:lineTo x="21529" y="20058"/>
                <wp:lineTo x="21529" y="975"/>
                <wp:lineTo x="20944" y="836"/>
                <wp:lineTo x="13346" y="0"/>
                <wp:lineTo x="9060" y="0"/>
              </wp:wrapPolygon>
            </wp:wrapTight>
            <wp:docPr id="1943589265" name="image1.png" descr="A graph with blue dots and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graph with blue dots and white text&#10;&#10;AI-generated content may be incorrect."/>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4224020" cy="2954020"/>
                    </a:xfrm>
                    <a:prstGeom prst="rect">
                      <a:avLst/>
                    </a:prstGeom>
                    <a:ln/>
                  </pic:spPr>
                </pic:pic>
              </a:graphicData>
            </a:graphic>
            <wp14:sizeRelH relativeFrom="page">
              <wp14:pctWidth>0</wp14:pctWidth>
            </wp14:sizeRelH>
            <wp14:sizeRelV relativeFrom="page">
              <wp14:pctHeight>0</wp14:pctHeight>
            </wp14:sizeRelV>
          </wp:anchor>
        </w:drawing>
      </w:r>
      <w:r w:rsidRPr="007F699A">
        <w:rPr>
          <w:rFonts w:ascii="Times New Roman" w:eastAsia="Times New Roman" w:hAnsi="Times New Roman" w:cs="Times New Roman"/>
          <w:b/>
          <w:lang w:val="nl-NL"/>
        </w:rPr>
        <w:t xml:space="preserve">Gambar 4. </w:t>
      </w:r>
      <w:r w:rsidRPr="007F699A">
        <w:rPr>
          <w:rFonts w:ascii="Times New Roman" w:eastAsia="Times New Roman" w:hAnsi="Times New Roman" w:cs="Times New Roman"/>
          <w:bCs/>
          <w:lang w:val="nl-NL"/>
        </w:rPr>
        <w:t>Pola Kolaborasi berdasarkan Negara</w:t>
      </w:r>
    </w:p>
    <w:p w14:paraId="3DE1B8F5" w14:textId="646C3E9E" w:rsidR="008B0C98" w:rsidRPr="007F699A" w:rsidRDefault="008B0C98">
      <w:pPr>
        <w:jc w:val="center"/>
        <w:rPr>
          <w:rFonts w:ascii="Times New Roman" w:eastAsia="Times New Roman" w:hAnsi="Times New Roman" w:cs="Times New Roman"/>
          <w:i/>
          <w:iCs/>
          <w:lang w:val="nl-NL"/>
        </w:rPr>
      </w:pPr>
    </w:p>
    <w:p w14:paraId="0D418010" w14:textId="77777777" w:rsidR="008B0C98" w:rsidRPr="007F699A" w:rsidRDefault="008B0C98" w:rsidP="008B0C98">
      <w:pPr>
        <w:rPr>
          <w:rFonts w:ascii="Times New Roman" w:eastAsia="Times New Roman" w:hAnsi="Times New Roman" w:cs="Times New Roman"/>
          <w:i/>
          <w:iCs/>
          <w:lang w:val="nl-NL"/>
        </w:rPr>
      </w:pPr>
    </w:p>
    <w:p w14:paraId="746D9891" w14:textId="77777777" w:rsidR="008B0C98" w:rsidRPr="007F699A" w:rsidRDefault="008B0C98" w:rsidP="008B0C98">
      <w:pPr>
        <w:rPr>
          <w:rFonts w:ascii="Times New Roman" w:eastAsia="Times New Roman" w:hAnsi="Times New Roman" w:cs="Times New Roman"/>
          <w:i/>
          <w:iCs/>
          <w:lang w:val="nl-NL"/>
        </w:rPr>
      </w:pPr>
    </w:p>
    <w:p w14:paraId="5573A41C" w14:textId="77777777" w:rsidR="008B0C98" w:rsidRPr="007F699A" w:rsidRDefault="008B0C98" w:rsidP="008B0C98">
      <w:pPr>
        <w:rPr>
          <w:rFonts w:ascii="Times New Roman" w:eastAsia="Times New Roman" w:hAnsi="Times New Roman" w:cs="Times New Roman"/>
          <w:i/>
          <w:iCs/>
          <w:lang w:val="nl-NL"/>
        </w:rPr>
      </w:pPr>
    </w:p>
    <w:p w14:paraId="4F1F5FA5" w14:textId="77777777" w:rsidR="008B0C98" w:rsidRPr="007F699A" w:rsidRDefault="008B0C98" w:rsidP="008B0C98">
      <w:pPr>
        <w:rPr>
          <w:rFonts w:ascii="Times New Roman" w:eastAsia="Times New Roman" w:hAnsi="Times New Roman" w:cs="Times New Roman"/>
          <w:i/>
          <w:iCs/>
          <w:lang w:val="nl-NL"/>
        </w:rPr>
      </w:pPr>
    </w:p>
    <w:p w14:paraId="36509DDB" w14:textId="77777777" w:rsidR="008B0C98" w:rsidRPr="007F699A" w:rsidRDefault="008B0C98" w:rsidP="008B0C98">
      <w:pPr>
        <w:rPr>
          <w:rFonts w:ascii="Times New Roman" w:eastAsia="Times New Roman" w:hAnsi="Times New Roman" w:cs="Times New Roman"/>
          <w:i/>
          <w:iCs/>
          <w:lang w:val="nl-NL"/>
        </w:rPr>
      </w:pPr>
    </w:p>
    <w:p w14:paraId="0A305966" w14:textId="77777777" w:rsidR="008B0C98" w:rsidRPr="007F699A" w:rsidRDefault="008B0C98" w:rsidP="008B0C98">
      <w:pPr>
        <w:rPr>
          <w:rFonts w:ascii="Times New Roman" w:eastAsia="Times New Roman" w:hAnsi="Times New Roman" w:cs="Times New Roman"/>
          <w:i/>
          <w:iCs/>
          <w:lang w:val="nl-NL"/>
        </w:rPr>
      </w:pPr>
    </w:p>
    <w:p w14:paraId="344D60DB" w14:textId="77777777" w:rsidR="008B0C98" w:rsidRPr="007F699A" w:rsidRDefault="008B0C98" w:rsidP="008B0C98">
      <w:pPr>
        <w:rPr>
          <w:rFonts w:ascii="Times New Roman" w:eastAsia="Times New Roman" w:hAnsi="Times New Roman" w:cs="Times New Roman"/>
          <w:i/>
          <w:iCs/>
          <w:lang w:val="nl-NL"/>
        </w:rPr>
      </w:pPr>
    </w:p>
    <w:p w14:paraId="1099320B" w14:textId="77777777" w:rsidR="008B0C98" w:rsidRPr="007F699A" w:rsidRDefault="008B0C98" w:rsidP="008B0C98">
      <w:pPr>
        <w:rPr>
          <w:rFonts w:ascii="Times New Roman" w:eastAsia="Times New Roman" w:hAnsi="Times New Roman" w:cs="Times New Roman"/>
          <w:i/>
          <w:iCs/>
          <w:lang w:val="nl-NL"/>
        </w:rPr>
      </w:pPr>
    </w:p>
    <w:p w14:paraId="01CBBE7A" w14:textId="77777777" w:rsidR="008B0C98" w:rsidRPr="007F699A" w:rsidRDefault="008B0C98" w:rsidP="008B0C98">
      <w:pPr>
        <w:rPr>
          <w:rFonts w:ascii="Times New Roman" w:eastAsia="Times New Roman" w:hAnsi="Times New Roman" w:cs="Times New Roman"/>
          <w:i/>
          <w:iCs/>
          <w:lang w:val="nl-NL"/>
        </w:rPr>
      </w:pPr>
    </w:p>
    <w:p w14:paraId="7672BD2F" w14:textId="6D381481" w:rsidR="008B0C98" w:rsidRPr="007F699A" w:rsidRDefault="008B0C98" w:rsidP="008B0C98">
      <w:pPr>
        <w:rPr>
          <w:rFonts w:ascii="Times New Roman" w:eastAsia="Times New Roman" w:hAnsi="Times New Roman" w:cs="Times New Roman"/>
          <w:lang w:val="nl-NL"/>
        </w:rPr>
      </w:pPr>
      <w:r w:rsidRPr="007F699A">
        <w:rPr>
          <w:rFonts w:ascii="Times New Roman" w:eastAsia="Times New Roman" w:hAnsi="Times New Roman" w:cs="Times New Roman"/>
          <w:i/>
          <w:iCs/>
          <w:lang w:val="nl-NL"/>
        </w:rPr>
        <w:t>Sumber : Scopus, 2025</w:t>
      </w:r>
      <w:r w:rsidRPr="007F699A">
        <w:rPr>
          <w:rFonts w:ascii="Times New Roman" w:eastAsia="Times New Roman" w:hAnsi="Times New Roman" w:cs="Times New Roman"/>
          <w:lang w:val="nl-NL"/>
        </w:rPr>
        <w:t xml:space="preserve"> </w:t>
      </w:r>
    </w:p>
    <w:p w14:paraId="42449FDE" w14:textId="77777777" w:rsidR="00762A1D" w:rsidRPr="008B0C98" w:rsidRDefault="00000000">
      <w:pPr>
        <w:jc w:val="both"/>
        <w:rPr>
          <w:rFonts w:ascii="Times New Roman" w:eastAsia="Times New Roman" w:hAnsi="Times New Roman" w:cs="Times New Roman"/>
          <w:lang w:val="nl-NL"/>
        </w:rPr>
      </w:pPr>
      <w:r w:rsidRPr="007F699A">
        <w:rPr>
          <w:rFonts w:ascii="Times New Roman" w:eastAsia="Times New Roman" w:hAnsi="Times New Roman" w:cs="Times New Roman"/>
          <w:lang w:val="nl-NL"/>
        </w:rPr>
        <w:t xml:space="preserve">Selain itu, ada representasi yang signifikan dari Eropa, terutama dari Hungary (Hungarian University of Agriculture and Life Sciences, 12 artikel), Poland (WSB University, 12 artikel), Sweden (Linköpings Universitet, 10 artikel), dan Lithuania (Vilniaus Gedimino Technikos Universitetas, 10 artikel). </w:t>
      </w:r>
      <w:r w:rsidRPr="008B0C98">
        <w:rPr>
          <w:rFonts w:ascii="Times New Roman" w:eastAsia="Times New Roman" w:hAnsi="Times New Roman" w:cs="Times New Roman"/>
          <w:lang w:val="nl-NL"/>
        </w:rPr>
        <w:t>Ini menunjukkan bahwa Eropa membantu memperluas jaringan penelitian internasional dengan fokus pada keberlanjutan dan transisi hijau.</w:t>
      </w:r>
    </w:p>
    <w:p w14:paraId="5DB5D0ED" w14:textId="77777777" w:rsidR="00762A1D"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Di </w:t>
      </w:r>
      <w:proofErr w:type="spellStart"/>
      <w:r>
        <w:rPr>
          <w:rFonts w:ascii="Times New Roman" w:eastAsia="Times New Roman" w:hAnsi="Times New Roman" w:cs="Times New Roman"/>
        </w:rPr>
        <w:t>tingkat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internasional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keberadaan</w:t>
      </w:r>
      <w:proofErr w:type="spellEnd"/>
      <w:r>
        <w:rPr>
          <w:rFonts w:ascii="Times New Roman" w:eastAsia="Times New Roman" w:hAnsi="Times New Roman" w:cs="Times New Roman"/>
        </w:rPr>
        <w:t xml:space="preserve"> </w:t>
      </w:r>
      <w:r w:rsidRPr="008B0C98">
        <w:rPr>
          <w:rFonts w:ascii="Times New Roman" w:eastAsia="Times New Roman" w:hAnsi="Times New Roman" w:cs="Times New Roman"/>
          <w:i/>
          <w:iCs/>
        </w:rPr>
        <w:t>European Commission Joint Research Centre</w:t>
      </w:r>
      <w:r>
        <w:rPr>
          <w:rFonts w:ascii="Times New Roman" w:eastAsia="Times New Roman" w:hAnsi="Times New Roman" w:cs="Times New Roman"/>
        </w:rPr>
        <w:t xml:space="preserve"> (9 artikel) menegaskan peran institusi supranasional dalam mendorong integrasi pengetahuan lintas batas. Selain itu, sembilan artikel dari Universitas Nasional Taras Shevchenko di Kiev menarik karena mencerminkan keterlibatan negara berkembang di Eropa Timur dalam diskusi akademik global.</w:t>
      </w:r>
    </w:p>
    <w:p w14:paraId="2B95772F" w14:textId="1B778776" w:rsidR="00762A1D" w:rsidRDefault="00000000" w:rsidP="008B0C98">
      <w:pPr>
        <w:jc w:val="both"/>
        <w:rPr>
          <w:rFonts w:ascii="Times New Roman" w:eastAsia="Times New Roman" w:hAnsi="Times New Roman" w:cs="Times New Roman"/>
        </w:rPr>
      </w:pPr>
      <w:r>
        <w:rPr>
          <w:rFonts w:ascii="Times New Roman" w:eastAsia="Times New Roman" w:hAnsi="Times New Roman" w:cs="Times New Roman"/>
        </w:rPr>
        <w:t xml:space="preserve">Secara keseluruhan, praktik kolaborasi menunjukkan konsentrasi yang kuat di Asia, terutama China, yang terhubung erat dengan mitra utama Eropa. Kecenderungan ini menegaskan bahwa penelitian tentang investasi hijau memerlukan kolaborasi akademisi dari berbagai negara, serta bahwa penelitian ini mencakup berbagai disiplin ilmu dan melibatkan siswa dari berbagai negara. Tujuannya adalah untuk memperluas pandangan dan </w:t>
      </w:r>
      <w:proofErr w:type="spellStart"/>
      <w:r>
        <w:rPr>
          <w:rFonts w:ascii="Times New Roman" w:eastAsia="Times New Roman" w:hAnsi="Times New Roman" w:cs="Times New Roman"/>
        </w:rPr>
        <w:t>menemukan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solusi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keberlanjutan</w:t>
      </w:r>
      <w:proofErr w:type="spellEnd"/>
      <w:r>
        <w:rPr>
          <w:rFonts w:ascii="Times New Roman" w:eastAsia="Times New Roman" w:hAnsi="Times New Roman" w:cs="Times New Roman"/>
        </w:rPr>
        <w:t xml:space="preserve"> global.</w:t>
      </w:r>
    </w:p>
    <w:p w14:paraId="200A0E3C" w14:textId="77777777" w:rsidR="00762A1D" w:rsidRPr="007F699A" w:rsidRDefault="00000000">
      <w:pPr>
        <w:jc w:val="both"/>
        <w:rPr>
          <w:rFonts w:ascii="Times New Roman" w:eastAsia="Times New Roman" w:hAnsi="Times New Roman" w:cs="Times New Roman"/>
          <w:b/>
          <w:lang w:val="nl-NL"/>
        </w:rPr>
      </w:pPr>
      <w:r w:rsidRPr="007F699A">
        <w:rPr>
          <w:rFonts w:ascii="Times New Roman" w:eastAsia="Times New Roman" w:hAnsi="Times New Roman" w:cs="Times New Roman"/>
          <w:b/>
          <w:lang w:val="nl-NL"/>
        </w:rPr>
        <w:t>Jumlah Sitasi Artikel</w:t>
      </w:r>
    </w:p>
    <w:p w14:paraId="79FC88C9" w14:textId="1019A6AE" w:rsidR="008B0C98" w:rsidRPr="008B0C98" w:rsidRDefault="008B0C98" w:rsidP="008B0C98">
      <w:pPr>
        <w:jc w:val="both"/>
        <w:rPr>
          <w:rFonts w:ascii="Times New Roman" w:eastAsia="Times New Roman" w:hAnsi="Times New Roman" w:cs="Times New Roman"/>
          <w:lang w:val="nl-NL"/>
        </w:rPr>
      </w:pPr>
      <w:r w:rsidRPr="008B0C98">
        <w:rPr>
          <w:rFonts w:ascii="Times New Roman" w:eastAsia="Times New Roman" w:hAnsi="Times New Roman" w:cs="Times New Roman"/>
          <w:lang w:val="nl-NL"/>
        </w:rPr>
        <w:t xml:space="preserve">Sejak tahun 2015 hingga 2024, tren jumlah sitasi artikel tentang investasi hijau terus meningkat. Pada periode awal (2015–2017), ada jumlah publikasi dan sitasi yang relatif rendah; ini menunjukkan bahwa penelitian akademik baru-baru ini mendapat perhatian. </w:t>
      </w:r>
      <w:r w:rsidRPr="008B0C98">
        <w:rPr>
          <w:rFonts w:ascii="Times New Roman" w:eastAsia="Times New Roman" w:hAnsi="Times New Roman" w:cs="Times New Roman"/>
          <w:lang w:val="nl-NL"/>
        </w:rPr>
        <w:lastRenderedPageBreak/>
        <w:t>Namun, dari 2018 hingga 2020, terlihat peningkatan yang konsisten dalam jumlah dokumen dan sitasi, sejalan dengan meningkatnya kesadaran tentang masalah keberlanjutan di seluruh dunia.</w:t>
      </w:r>
    </w:p>
    <w:p w14:paraId="00C913EB" w14:textId="5B8D4395" w:rsidR="008B0C98" w:rsidRDefault="008B0C98" w:rsidP="008B0C98">
      <w:pPr>
        <w:jc w:val="center"/>
        <w:rPr>
          <w:rFonts w:ascii="Times New Roman" w:eastAsia="Times New Roman" w:hAnsi="Times New Roman" w:cs="Times New Roman"/>
          <w:b/>
        </w:rPr>
      </w:pPr>
      <w:r>
        <w:rPr>
          <w:rFonts w:ascii="Times New Roman" w:eastAsia="Times New Roman" w:hAnsi="Times New Roman" w:cs="Times New Roman"/>
          <w:b/>
        </w:rPr>
        <w:t xml:space="preserve">Gambar 5. </w:t>
      </w:r>
      <w:proofErr w:type="spellStart"/>
      <w:r w:rsidRPr="008B0C98">
        <w:rPr>
          <w:rFonts w:ascii="Times New Roman" w:eastAsia="Times New Roman" w:hAnsi="Times New Roman" w:cs="Times New Roman"/>
          <w:bCs/>
        </w:rPr>
        <w:t>Kutipan</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selama</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tahun</w:t>
      </w:r>
      <w:proofErr w:type="spellEnd"/>
      <w:r w:rsidRPr="008B0C98">
        <w:rPr>
          <w:rFonts w:ascii="Times New Roman" w:eastAsia="Times New Roman" w:hAnsi="Times New Roman" w:cs="Times New Roman"/>
          <w:bCs/>
        </w:rPr>
        <w:t xml:space="preserve"> 2015 - 2025</w:t>
      </w:r>
    </w:p>
    <w:p w14:paraId="3CD0C433" w14:textId="77777777" w:rsidR="00762A1D" w:rsidRDefault="00000000">
      <w:pPr>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C4627E7" wp14:editId="3039A088">
            <wp:extent cx="5731510" cy="1466429"/>
            <wp:effectExtent l="0" t="0" r="2540" b="635"/>
            <wp:docPr id="1943589261" name="image5.jpg" descr="A graph with blue squares and a lin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5.jpg" descr="A graph with blue squares and a line&#10;&#10;AI-generated content may be incorrect."/>
                    <pic:cNvPicPr preferRelativeResize="0"/>
                  </pic:nvPicPr>
                  <pic:blipFill rotWithShape="1">
                    <a:blip r:embed="rId11"/>
                    <a:srcRect t="11958"/>
                    <a:stretch>
                      <a:fillRect/>
                    </a:stretch>
                  </pic:blipFill>
                  <pic:spPr bwMode="auto">
                    <a:xfrm>
                      <a:off x="0" y="0"/>
                      <a:ext cx="5731510" cy="1466429"/>
                    </a:xfrm>
                    <a:prstGeom prst="rect">
                      <a:avLst/>
                    </a:prstGeom>
                    <a:ln>
                      <a:noFill/>
                    </a:ln>
                    <a:extLst>
                      <a:ext uri="{53640926-AAD7-44D8-BBD7-CCE9431645EC}">
                        <a14:shadowObscured xmlns:a14="http://schemas.microsoft.com/office/drawing/2010/main"/>
                      </a:ext>
                    </a:extLst>
                  </pic:spPr>
                </pic:pic>
              </a:graphicData>
            </a:graphic>
          </wp:inline>
        </w:drawing>
      </w:r>
    </w:p>
    <w:p w14:paraId="1B9650A6" w14:textId="552E2D81" w:rsidR="008B0C98" w:rsidRDefault="008B0C98" w:rsidP="008B0C98">
      <w:pPr>
        <w:rPr>
          <w:rFonts w:ascii="Times New Roman" w:eastAsia="Times New Roman" w:hAnsi="Times New Roman" w:cs="Times New Roman"/>
        </w:rPr>
      </w:pPr>
      <w:proofErr w:type="spellStart"/>
      <w:proofErr w:type="gramStart"/>
      <w:r w:rsidRPr="008B0C98">
        <w:rPr>
          <w:rFonts w:ascii="Times New Roman" w:eastAsia="Times New Roman" w:hAnsi="Times New Roman" w:cs="Times New Roman"/>
          <w:i/>
          <w:iCs/>
        </w:rPr>
        <w:t>Sumber</w:t>
      </w:r>
      <w:proofErr w:type="spellEnd"/>
      <w:r w:rsidRPr="008B0C98">
        <w:rPr>
          <w:rFonts w:ascii="Times New Roman" w:eastAsia="Times New Roman" w:hAnsi="Times New Roman" w:cs="Times New Roman"/>
          <w:i/>
          <w:iCs/>
        </w:rPr>
        <w:t xml:space="preserve"> :</w:t>
      </w:r>
      <w:proofErr w:type="gramEnd"/>
      <w:r w:rsidRPr="008B0C98">
        <w:rPr>
          <w:rFonts w:ascii="Times New Roman" w:eastAsia="Times New Roman" w:hAnsi="Times New Roman" w:cs="Times New Roman"/>
          <w:i/>
          <w:iCs/>
        </w:rPr>
        <w:t xml:space="preserve"> Scopus, 2025</w:t>
      </w:r>
      <w:r>
        <w:rPr>
          <w:rFonts w:ascii="Times New Roman" w:eastAsia="Times New Roman" w:hAnsi="Times New Roman" w:cs="Times New Roman"/>
        </w:rPr>
        <w:t xml:space="preserve"> </w:t>
      </w:r>
    </w:p>
    <w:p w14:paraId="1AD2BB52" w14:textId="5A236995" w:rsidR="00762A1D" w:rsidRPr="007F699A" w:rsidRDefault="00000000">
      <w:pPr>
        <w:jc w:val="both"/>
        <w:rPr>
          <w:rFonts w:ascii="Times New Roman" w:eastAsia="Times New Roman" w:hAnsi="Times New Roman" w:cs="Times New Roman"/>
        </w:rPr>
      </w:pPr>
      <w:r w:rsidRPr="008B0C98">
        <w:rPr>
          <w:rFonts w:ascii="Times New Roman" w:eastAsia="Times New Roman" w:hAnsi="Times New Roman" w:cs="Times New Roman"/>
        </w:rPr>
        <w:t xml:space="preserve">Pada </w:t>
      </w:r>
      <w:proofErr w:type="spellStart"/>
      <w:r w:rsidRPr="008B0C98">
        <w:rPr>
          <w:rFonts w:ascii="Times New Roman" w:eastAsia="Times New Roman" w:hAnsi="Times New Roman" w:cs="Times New Roman"/>
        </w:rPr>
        <w:t>tahun</w:t>
      </w:r>
      <w:proofErr w:type="spellEnd"/>
      <w:r w:rsidRPr="008B0C98">
        <w:rPr>
          <w:rFonts w:ascii="Times New Roman" w:eastAsia="Times New Roman" w:hAnsi="Times New Roman" w:cs="Times New Roman"/>
        </w:rPr>
        <w:t xml:space="preserve"> 2021 </w:t>
      </w:r>
      <w:proofErr w:type="spellStart"/>
      <w:r w:rsidRPr="008B0C98">
        <w:rPr>
          <w:rFonts w:ascii="Times New Roman" w:eastAsia="Times New Roman" w:hAnsi="Times New Roman" w:cs="Times New Roman"/>
        </w:rPr>
        <w:t>hingga</w:t>
      </w:r>
      <w:proofErr w:type="spellEnd"/>
      <w:r w:rsidRPr="008B0C98">
        <w:rPr>
          <w:rFonts w:ascii="Times New Roman" w:eastAsia="Times New Roman" w:hAnsi="Times New Roman" w:cs="Times New Roman"/>
        </w:rPr>
        <w:t xml:space="preserve"> 2023, </w:t>
      </w:r>
      <w:proofErr w:type="spellStart"/>
      <w:r w:rsidRPr="008B0C98">
        <w:rPr>
          <w:rFonts w:ascii="Times New Roman" w:eastAsia="Times New Roman" w:hAnsi="Times New Roman" w:cs="Times New Roman"/>
        </w:rPr>
        <w:t>terjadi</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peningkatan</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signifikan</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dalam</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jumlah</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publikasi</w:t>
      </w:r>
      <w:proofErr w:type="spellEnd"/>
      <w:r w:rsidRPr="008B0C98">
        <w:rPr>
          <w:rFonts w:ascii="Times New Roman" w:eastAsia="Times New Roman" w:hAnsi="Times New Roman" w:cs="Times New Roman"/>
        </w:rPr>
        <w:t xml:space="preserve"> dan </w:t>
      </w:r>
      <w:proofErr w:type="spellStart"/>
      <w:r w:rsidRPr="008B0C98">
        <w:rPr>
          <w:rFonts w:ascii="Times New Roman" w:eastAsia="Times New Roman" w:hAnsi="Times New Roman" w:cs="Times New Roman"/>
        </w:rPr>
        <w:t>sitasi</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diikuti</w:t>
      </w:r>
      <w:proofErr w:type="spellEnd"/>
      <w:r w:rsidRPr="008B0C98">
        <w:rPr>
          <w:rFonts w:ascii="Times New Roman" w:eastAsia="Times New Roman" w:hAnsi="Times New Roman" w:cs="Times New Roman"/>
        </w:rPr>
        <w:t xml:space="preserve"> oleh </w:t>
      </w:r>
      <w:proofErr w:type="spellStart"/>
      <w:r w:rsidRPr="008B0C98">
        <w:rPr>
          <w:rFonts w:ascii="Times New Roman" w:eastAsia="Times New Roman" w:hAnsi="Times New Roman" w:cs="Times New Roman"/>
        </w:rPr>
        <w:t>peningkatan</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jumlah</w:t>
      </w:r>
      <w:proofErr w:type="spellEnd"/>
      <w:r w:rsidRPr="008B0C98">
        <w:rPr>
          <w:rFonts w:ascii="Times New Roman" w:eastAsia="Times New Roman" w:hAnsi="Times New Roman" w:cs="Times New Roman"/>
        </w:rPr>
        <w:t xml:space="preserve"> </w:t>
      </w:r>
      <w:proofErr w:type="spellStart"/>
      <w:r w:rsidRPr="008B0C98">
        <w:rPr>
          <w:rFonts w:ascii="Times New Roman" w:eastAsia="Times New Roman" w:hAnsi="Times New Roman" w:cs="Times New Roman"/>
        </w:rPr>
        <w:t>sitasi</w:t>
      </w:r>
      <w:proofErr w:type="spellEnd"/>
      <w:r w:rsidRPr="008B0C98">
        <w:rPr>
          <w:rFonts w:ascii="Times New Roman" w:eastAsia="Times New Roman" w:hAnsi="Times New Roman" w:cs="Times New Roman"/>
        </w:rPr>
        <w:t xml:space="preserve">. </w:t>
      </w:r>
      <w:r w:rsidRPr="007F699A">
        <w:rPr>
          <w:rFonts w:ascii="Times New Roman" w:eastAsia="Times New Roman" w:hAnsi="Times New Roman" w:cs="Times New Roman"/>
        </w:rPr>
        <w:t xml:space="preserve">Pada </w:t>
      </w:r>
      <w:proofErr w:type="spellStart"/>
      <w:r w:rsidRPr="007F699A">
        <w:rPr>
          <w:rFonts w:ascii="Times New Roman" w:eastAsia="Times New Roman" w:hAnsi="Times New Roman" w:cs="Times New Roman"/>
        </w:rPr>
        <w:t>tahun</w:t>
      </w:r>
      <w:proofErr w:type="spellEnd"/>
      <w:r w:rsidRPr="007F699A">
        <w:rPr>
          <w:rFonts w:ascii="Times New Roman" w:eastAsia="Times New Roman" w:hAnsi="Times New Roman" w:cs="Times New Roman"/>
        </w:rPr>
        <w:t xml:space="preserve"> 2022, </w:t>
      </w:r>
      <w:proofErr w:type="spellStart"/>
      <w:r w:rsidRPr="007F699A">
        <w:rPr>
          <w:rFonts w:ascii="Times New Roman" w:eastAsia="Times New Roman" w:hAnsi="Times New Roman" w:cs="Times New Roman"/>
        </w:rPr>
        <w:t>jumlah</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dokumen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meningkat</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lebih</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dari</w:t>
      </w:r>
      <w:proofErr w:type="spellEnd"/>
      <w:r w:rsidRPr="007F699A">
        <w:rPr>
          <w:rFonts w:ascii="Times New Roman" w:eastAsia="Times New Roman" w:hAnsi="Times New Roman" w:cs="Times New Roman"/>
        </w:rPr>
        <w:t xml:space="preserve"> dua kali </w:t>
      </w:r>
      <w:proofErr w:type="spellStart"/>
      <w:r w:rsidRPr="007F699A">
        <w:rPr>
          <w:rFonts w:ascii="Times New Roman" w:eastAsia="Times New Roman" w:hAnsi="Times New Roman" w:cs="Times New Roman"/>
        </w:rPr>
        <w:t>lipat</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dibandingkan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tahun-tahun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sebelumnya</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menunjukkan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bahwa</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subjek</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ini</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semakin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menjadi</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pusat</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penelitian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lintas</w:t>
      </w:r>
      <w:proofErr w:type="spellEnd"/>
      <w:r w:rsidRPr="007F699A">
        <w:rPr>
          <w:rFonts w:ascii="Times New Roman" w:eastAsia="Times New Roman" w:hAnsi="Times New Roman" w:cs="Times New Roman"/>
        </w:rPr>
        <w:t xml:space="preserve"> negara.</w:t>
      </w:r>
    </w:p>
    <w:p w14:paraId="2168F7A8" w14:textId="77777777" w:rsidR="00762A1D" w:rsidRPr="007F699A" w:rsidRDefault="00000000">
      <w:pPr>
        <w:jc w:val="both"/>
        <w:rPr>
          <w:rFonts w:ascii="Times New Roman" w:eastAsia="Times New Roman" w:hAnsi="Times New Roman" w:cs="Times New Roman"/>
        </w:rPr>
      </w:pPr>
      <w:r w:rsidRPr="007F699A">
        <w:rPr>
          <w:rFonts w:ascii="Times New Roman" w:eastAsia="Times New Roman" w:hAnsi="Times New Roman" w:cs="Times New Roman"/>
        </w:rPr>
        <w:t xml:space="preserve">Pada </w:t>
      </w:r>
      <w:proofErr w:type="spellStart"/>
      <w:r w:rsidRPr="007F699A">
        <w:rPr>
          <w:rFonts w:ascii="Times New Roman" w:eastAsia="Times New Roman" w:hAnsi="Times New Roman" w:cs="Times New Roman"/>
        </w:rPr>
        <w:t>tahun</w:t>
      </w:r>
      <w:proofErr w:type="spellEnd"/>
      <w:r w:rsidRPr="007F699A">
        <w:rPr>
          <w:rFonts w:ascii="Times New Roman" w:eastAsia="Times New Roman" w:hAnsi="Times New Roman" w:cs="Times New Roman"/>
        </w:rPr>
        <w:t xml:space="preserve"> 2024, </w:t>
      </w:r>
      <w:proofErr w:type="spellStart"/>
      <w:r w:rsidRPr="007F699A">
        <w:rPr>
          <w:rFonts w:ascii="Times New Roman" w:eastAsia="Times New Roman" w:hAnsi="Times New Roman" w:cs="Times New Roman"/>
        </w:rPr>
        <w:t>sitasi</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meningkat</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hingga</w:t>
      </w:r>
      <w:proofErr w:type="spellEnd"/>
      <w:r w:rsidRPr="007F699A">
        <w:rPr>
          <w:rFonts w:ascii="Times New Roman" w:eastAsia="Times New Roman" w:hAnsi="Times New Roman" w:cs="Times New Roman"/>
        </w:rPr>
        <w:t xml:space="preserve"> 5.000 kali, </w:t>
      </w:r>
      <w:proofErr w:type="spellStart"/>
      <w:r w:rsidRPr="007F699A">
        <w:rPr>
          <w:rFonts w:ascii="Times New Roman" w:eastAsia="Times New Roman" w:hAnsi="Times New Roman" w:cs="Times New Roman"/>
        </w:rPr>
        <w:t>menunjukkan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penghargaan</w:t>
      </w:r>
      <w:proofErr w:type="spellEnd"/>
      <w:r w:rsidRPr="007F699A">
        <w:rPr>
          <w:rFonts w:ascii="Times New Roman" w:eastAsia="Times New Roman" w:hAnsi="Times New Roman" w:cs="Times New Roman"/>
        </w:rPr>
        <w:t xml:space="preserve"> yang </w:t>
      </w:r>
      <w:proofErr w:type="spellStart"/>
      <w:r w:rsidRPr="007F699A">
        <w:rPr>
          <w:rFonts w:ascii="Times New Roman" w:eastAsia="Times New Roman" w:hAnsi="Times New Roman" w:cs="Times New Roman"/>
        </w:rPr>
        <w:t>luas</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terhadap</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kontribusi</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ilmiah</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publikasi</w:t>
      </w:r>
      <w:proofErr w:type="spellEnd"/>
      <w:r w:rsidRPr="007F699A">
        <w:rPr>
          <w:rFonts w:ascii="Times New Roman" w:eastAsia="Times New Roman" w:hAnsi="Times New Roman" w:cs="Times New Roman"/>
        </w:rPr>
        <w:t xml:space="preserve"> yang </w:t>
      </w:r>
      <w:proofErr w:type="spellStart"/>
      <w:r w:rsidRPr="007F699A">
        <w:rPr>
          <w:rFonts w:ascii="Times New Roman" w:eastAsia="Times New Roman" w:hAnsi="Times New Roman" w:cs="Times New Roman"/>
        </w:rPr>
        <w:t>diterbitkan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selama</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periode</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tersebut</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Namun</w:t>
      </w:r>
      <w:proofErr w:type="spellEnd"/>
      <w:r w:rsidRPr="007F699A">
        <w:rPr>
          <w:rFonts w:ascii="Times New Roman" w:eastAsia="Times New Roman" w:hAnsi="Times New Roman" w:cs="Times New Roman"/>
        </w:rPr>
        <w:t xml:space="preserve">, pada </w:t>
      </w:r>
      <w:proofErr w:type="spellStart"/>
      <w:r w:rsidRPr="007F699A">
        <w:rPr>
          <w:rFonts w:ascii="Times New Roman" w:eastAsia="Times New Roman" w:hAnsi="Times New Roman" w:cs="Times New Roman"/>
        </w:rPr>
        <w:t>tahun</w:t>
      </w:r>
      <w:proofErr w:type="spellEnd"/>
      <w:r w:rsidRPr="007F699A">
        <w:rPr>
          <w:rFonts w:ascii="Times New Roman" w:eastAsia="Times New Roman" w:hAnsi="Times New Roman" w:cs="Times New Roman"/>
        </w:rPr>
        <w:t xml:space="preserve"> 2025, data </w:t>
      </w:r>
      <w:proofErr w:type="spellStart"/>
      <w:r w:rsidRPr="007F699A">
        <w:rPr>
          <w:rFonts w:ascii="Times New Roman" w:eastAsia="Times New Roman" w:hAnsi="Times New Roman" w:cs="Times New Roman"/>
        </w:rPr>
        <w:t>masih</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belum</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lengkap</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tren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awal</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tetap</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tinggi</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meskipun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sedikit</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menurun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dibandingkan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tahun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sebelumnya</w:t>
      </w:r>
      <w:proofErr w:type="spellEnd"/>
      <w:r w:rsidRPr="007F699A">
        <w:rPr>
          <w:rFonts w:ascii="Times New Roman" w:eastAsia="Times New Roman" w:hAnsi="Times New Roman" w:cs="Times New Roman"/>
        </w:rPr>
        <w:t>.</w:t>
      </w:r>
    </w:p>
    <w:p w14:paraId="1C2F21A6" w14:textId="7F30E074" w:rsidR="00762A1D" w:rsidRPr="008B0C98" w:rsidRDefault="00000000" w:rsidP="00C36110">
      <w:pPr>
        <w:jc w:val="both"/>
        <w:rPr>
          <w:rFonts w:ascii="Times New Roman" w:eastAsia="Times New Roman" w:hAnsi="Times New Roman" w:cs="Times New Roman"/>
          <w:lang w:val="nl-NL"/>
        </w:rPr>
      </w:pPr>
      <w:proofErr w:type="spellStart"/>
      <w:r w:rsidRPr="007F699A">
        <w:rPr>
          <w:rFonts w:ascii="Times New Roman" w:eastAsia="Times New Roman" w:hAnsi="Times New Roman" w:cs="Times New Roman"/>
        </w:rPr>
        <w:t>Secara</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keseluruhan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pola</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ini</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menunjukkan</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bahwa</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investasi</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hijau</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telah</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menjadi</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bidang</w:t>
      </w:r>
      <w:proofErr w:type="spellEnd"/>
      <w:r w:rsidRPr="007F699A">
        <w:rPr>
          <w:rFonts w:ascii="Times New Roman" w:eastAsia="Times New Roman" w:hAnsi="Times New Roman" w:cs="Times New Roman"/>
        </w:rPr>
        <w:t xml:space="preserve"> </w:t>
      </w:r>
      <w:proofErr w:type="spellStart"/>
      <w:r w:rsidRPr="007F699A">
        <w:rPr>
          <w:rFonts w:ascii="Times New Roman" w:eastAsia="Times New Roman" w:hAnsi="Times New Roman" w:cs="Times New Roman"/>
        </w:rPr>
        <w:t>penelitian</w:t>
      </w:r>
      <w:proofErr w:type="spellEnd"/>
      <w:r w:rsidRPr="007F699A">
        <w:rPr>
          <w:rFonts w:ascii="Times New Roman" w:eastAsia="Times New Roman" w:hAnsi="Times New Roman" w:cs="Times New Roman"/>
        </w:rPr>
        <w:t xml:space="preserve"> yang sangat </w:t>
      </w:r>
      <w:proofErr w:type="spellStart"/>
      <w:r w:rsidRPr="007F699A">
        <w:rPr>
          <w:rFonts w:ascii="Times New Roman" w:eastAsia="Times New Roman" w:hAnsi="Times New Roman" w:cs="Times New Roman"/>
        </w:rPr>
        <w:t>relevan</w:t>
      </w:r>
      <w:proofErr w:type="spellEnd"/>
      <w:r w:rsidRPr="007F699A">
        <w:rPr>
          <w:rFonts w:ascii="Times New Roman" w:eastAsia="Times New Roman" w:hAnsi="Times New Roman" w:cs="Times New Roman"/>
        </w:rPr>
        <w:t xml:space="preserve"> dan </w:t>
      </w:r>
      <w:proofErr w:type="spellStart"/>
      <w:r w:rsidRPr="007F699A">
        <w:rPr>
          <w:rFonts w:ascii="Times New Roman" w:eastAsia="Times New Roman" w:hAnsi="Times New Roman" w:cs="Times New Roman"/>
        </w:rPr>
        <w:t>berdampak</w:t>
      </w:r>
      <w:proofErr w:type="spellEnd"/>
      <w:r w:rsidRPr="007F699A">
        <w:rPr>
          <w:rFonts w:ascii="Times New Roman" w:eastAsia="Times New Roman" w:hAnsi="Times New Roman" w:cs="Times New Roman"/>
        </w:rPr>
        <w:t xml:space="preserve"> global. </w:t>
      </w:r>
      <w:r w:rsidRPr="008B0C98">
        <w:rPr>
          <w:rFonts w:ascii="Times New Roman" w:eastAsia="Times New Roman" w:hAnsi="Times New Roman" w:cs="Times New Roman"/>
          <w:lang w:val="nl-NL"/>
        </w:rPr>
        <w:t>Peningkatan jumlah publikasi dan peningkatan sitasi menunjukkan peningkatan kualitas penelitian serta peningkatan kualitas dan pengaruh literatur akademik internasional.</w:t>
      </w:r>
    </w:p>
    <w:p w14:paraId="572A97BF" w14:textId="77777777" w:rsidR="00762A1D" w:rsidRPr="007F699A" w:rsidRDefault="00000000">
      <w:pPr>
        <w:jc w:val="both"/>
        <w:rPr>
          <w:rFonts w:ascii="Times New Roman" w:eastAsia="Times New Roman" w:hAnsi="Times New Roman" w:cs="Times New Roman"/>
          <w:b/>
          <w:lang w:val="nl-NL"/>
        </w:rPr>
      </w:pPr>
      <w:r w:rsidRPr="007F699A">
        <w:rPr>
          <w:rFonts w:ascii="Times New Roman" w:eastAsia="Times New Roman" w:hAnsi="Times New Roman" w:cs="Times New Roman"/>
          <w:b/>
          <w:lang w:val="nl-NL"/>
        </w:rPr>
        <w:t>Penulis Paling Banyak Disitasi</w:t>
      </w:r>
    </w:p>
    <w:p w14:paraId="7FCDE3E7" w14:textId="4244011E" w:rsidR="00C72D16" w:rsidRDefault="00C72D16" w:rsidP="00C72D16">
      <w:pPr>
        <w:jc w:val="both"/>
        <w:rPr>
          <w:rFonts w:ascii="Times New Roman" w:eastAsia="Times New Roman" w:hAnsi="Times New Roman" w:cs="Times New Roman"/>
        </w:rPr>
      </w:pPr>
      <w:r w:rsidRPr="007F699A">
        <w:rPr>
          <w:rFonts w:ascii="Times New Roman" w:eastAsia="Times New Roman" w:hAnsi="Times New Roman" w:cs="Times New Roman"/>
          <w:lang w:val="nl-NL"/>
        </w:rPr>
        <w:t xml:space="preserve">Analisis bibliometrik menunjukkan bahwa penulis yang paling banyak menyumbang penelitian investasi hijau berasal dari berbagai negara dan institusi terkemuka. Dutta, Anupam (India) adalah peneliti yang terkenal di bidang keuangan hijau dan manajemen risiko; karya-karyanya sering membahas integrasi keberlanjutan dalam sistem keuangan kontemporer. Lyulyov, Oleksii V. dan Pimonenko, Tetyana V. dari Universitas Negara Bagian Sumy di Ukraina adalah penulis yang sangat produktif dari kawasan Eropa Timur yang menghubungkan konsep ekonomi hijau dengan pengelolaan investasi berkelanjutan. </w:t>
      </w:r>
      <w:r>
        <w:rPr>
          <w:rFonts w:ascii="Times New Roman" w:eastAsia="Times New Roman" w:hAnsi="Times New Roman" w:cs="Times New Roman"/>
        </w:rPr>
        <w:t xml:space="preserve">Selain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Uddin, Gazi Salah (</w:t>
      </w:r>
      <w:proofErr w:type="spellStart"/>
      <w:r>
        <w:rPr>
          <w:rFonts w:ascii="Times New Roman" w:eastAsia="Times New Roman" w:hAnsi="Times New Roman" w:cs="Times New Roman"/>
        </w:rPr>
        <w:t>Swedia</w:t>
      </w:r>
      <w:proofErr w:type="spellEnd"/>
      <w:r>
        <w:rPr>
          <w:rFonts w:ascii="Times New Roman" w:eastAsia="Times New Roman" w:hAnsi="Times New Roman" w:cs="Times New Roman"/>
        </w:rPr>
        <w:t xml:space="preserve">, Universitas Linköping) juga </w:t>
      </w:r>
      <w:proofErr w:type="spellStart"/>
      <w:r>
        <w:rPr>
          <w:rFonts w:ascii="Times New Roman" w:eastAsia="Times New Roman" w:hAnsi="Times New Roman" w:cs="Times New Roman"/>
        </w:rPr>
        <w:t>tercatat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produktif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membahas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hubungan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energi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keuangan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hijau</w:t>
      </w:r>
      <w:proofErr w:type="spellEnd"/>
      <w:r>
        <w:rPr>
          <w:rFonts w:ascii="Times New Roman" w:eastAsia="Times New Roman" w:hAnsi="Times New Roman" w:cs="Times New Roman"/>
        </w:rPr>
        <w:t>, dan pasar modal.</w:t>
      </w:r>
    </w:p>
    <w:p w14:paraId="3247F89F" w14:textId="77777777" w:rsidR="00CB1162" w:rsidRDefault="00CB1162" w:rsidP="00C72D16">
      <w:pPr>
        <w:jc w:val="both"/>
        <w:rPr>
          <w:rFonts w:ascii="Times New Roman" w:eastAsia="Times New Roman" w:hAnsi="Times New Roman" w:cs="Times New Roman"/>
        </w:rPr>
      </w:pPr>
    </w:p>
    <w:p w14:paraId="095D690F" w14:textId="77777777" w:rsidR="00CB1162" w:rsidRDefault="00CB1162" w:rsidP="00C72D16">
      <w:pPr>
        <w:jc w:val="both"/>
        <w:rPr>
          <w:rFonts w:ascii="Times New Roman" w:eastAsia="Times New Roman" w:hAnsi="Times New Roman" w:cs="Times New Roman"/>
        </w:rPr>
      </w:pPr>
    </w:p>
    <w:p w14:paraId="4EBA3887" w14:textId="77777777" w:rsidR="00CB1162" w:rsidRPr="00C72D16" w:rsidRDefault="00CB1162" w:rsidP="00C72D16">
      <w:pPr>
        <w:jc w:val="both"/>
        <w:rPr>
          <w:rFonts w:ascii="Times New Roman" w:eastAsia="Times New Roman" w:hAnsi="Times New Roman" w:cs="Times New Roman"/>
        </w:rPr>
      </w:pPr>
    </w:p>
    <w:p w14:paraId="1C1339E0" w14:textId="282585EF" w:rsidR="00C72D16" w:rsidRDefault="00C72D16" w:rsidP="00C72D16">
      <w:pPr>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Gambar 6. </w:t>
      </w:r>
      <w:proofErr w:type="spellStart"/>
      <w:r>
        <w:rPr>
          <w:rFonts w:ascii="Times New Roman" w:eastAsia="Times New Roman" w:hAnsi="Times New Roman" w:cs="Times New Roman"/>
          <w:bCs/>
        </w:rPr>
        <w:t>Kutipan</w:t>
      </w:r>
      <w:proofErr w:type="spellEnd"/>
      <w:r>
        <w:rPr>
          <w:rFonts w:ascii="Times New Roman" w:eastAsia="Times New Roman" w:hAnsi="Times New Roman" w:cs="Times New Roman"/>
          <w:bCs/>
        </w:rPr>
        <w:t xml:space="preserve"> </w:t>
      </w:r>
      <w:proofErr w:type="spellStart"/>
      <w:r>
        <w:rPr>
          <w:rFonts w:ascii="Times New Roman" w:eastAsia="Times New Roman" w:hAnsi="Times New Roman" w:cs="Times New Roman"/>
          <w:bCs/>
        </w:rPr>
        <w:t>penulis</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selama</w:t>
      </w:r>
      <w:proofErr w:type="spellEnd"/>
      <w:r w:rsidRPr="008B0C98">
        <w:rPr>
          <w:rFonts w:ascii="Times New Roman" w:eastAsia="Times New Roman" w:hAnsi="Times New Roman" w:cs="Times New Roman"/>
          <w:bCs/>
        </w:rPr>
        <w:t xml:space="preserve"> </w:t>
      </w:r>
      <w:proofErr w:type="spellStart"/>
      <w:r w:rsidRPr="008B0C98">
        <w:rPr>
          <w:rFonts w:ascii="Times New Roman" w:eastAsia="Times New Roman" w:hAnsi="Times New Roman" w:cs="Times New Roman"/>
          <w:bCs/>
        </w:rPr>
        <w:t>tahun</w:t>
      </w:r>
      <w:proofErr w:type="spellEnd"/>
      <w:r w:rsidRPr="008B0C98">
        <w:rPr>
          <w:rFonts w:ascii="Times New Roman" w:eastAsia="Times New Roman" w:hAnsi="Times New Roman" w:cs="Times New Roman"/>
          <w:bCs/>
        </w:rPr>
        <w:t xml:space="preserve"> 2015 - 2025</w:t>
      </w:r>
    </w:p>
    <w:p w14:paraId="0A208176" w14:textId="77777777" w:rsidR="00C72D16" w:rsidRDefault="00C72D16">
      <w:pPr>
        <w:jc w:val="both"/>
        <w:rPr>
          <w:rFonts w:ascii="Times New Roman" w:eastAsia="Times New Roman" w:hAnsi="Times New Roman" w:cs="Times New Roman"/>
          <w:b/>
        </w:rPr>
      </w:pPr>
    </w:p>
    <w:p w14:paraId="1B9EB451" w14:textId="77777777" w:rsidR="00C72D16" w:rsidRDefault="00000000" w:rsidP="00C72D16">
      <w:pPr>
        <w:jc w:val="center"/>
        <w:rPr>
          <w:rFonts w:ascii="Times New Roman" w:eastAsia="Times New Roman" w:hAnsi="Times New Roman" w:cs="Times New Roman"/>
          <w:b/>
        </w:rPr>
      </w:pPr>
      <w:r>
        <w:rPr>
          <w:rFonts w:ascii="Times New Roman" w:eastAsia="Times New Roman" w:hAnsi="Times New Roman" w:cs="Times New Roman"/>
          <w:noProof/>
        </w:rPr>
        <w:drawing>
          <wp:inline distT="0" distB="0" distL="0" distR="0" wp14:anchorId="0934B4BA" wp14:editId="46060356">
            <wp:extent cx="4205288" cy="2932635"/>
            <wp:effectExtent l="0" t="0" r="0" b="0"/>
            <wp:docPr id="1943589260" name="image2.png" descr="A graph with blue dots and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graph with blue dots and white text&#10;&#10;AI-generated content may be incorrect."/>
                    <pic:cNvPicPr preferRelativeResize="0"/>
                  </pic:nvPicPr>
                  <pic:blipFill>
                    <a:blip r:embed="rId12"/>
                    <a:srcRect/>
                    <a:stretch>
                      <a:fillRect/>
                    </a:stretch>
                  </pic:blipFill>
                  <pic:spPr>
                    <a:xfrm>
                      <a:off x="0" y="0"/>
                      <a:ext cx="4205288" cy="2932635"/>
                    </a:xfrm>
                    <a:prstGeom prst="rect">
                      <a:avLst/>
                    </a:prstGeom>
                    <a:ln/>
                  </pic:spPr>
                </pic:pic>
              </a:graphicData>
            </a:graphic>
          </wp:inline>
        </w:drawing>
      </w:r>
    </w:p>
    <w:p w14:paraId="1601AA37" w14:textId="32784A6A" w:rsidR="00C72D16" w:rsidRPr="00C72D16" w:rsidRDefault="00C72D16" w:rsidP="00C72D16">
      <w:pPr>
        <w:rPr>
          <w:rFonts w:ascii="Times New Roman" w:eastAsia="Times New Roman" w:hAnsi="Times New Roman" w:cs="Times New Roman"/>
          <w:b/>
        </w:rPr>
      </w:pPr>
      <w:proofErr w:type="spellStart"/>
      <w:proofErr w:type="gramStart"/>
      <w:r w:rsidRPr="008B0C98">
        <w:rPr>
          <w:rFonts w:ascii="Times New Roman" w:eastAsia="Times New Roman" w:hAnsi="Times New Roman" w:cs="Times New Roman"/>
          <w:i/>
          <w:iCs/>
        </w:rPr>
        <w:t>Sumber</w:t>
      </w:r>
      <w:proofErr w:type="spellEnd"/>
      <w:r w:rsidRPr="008B0C98">
        <w:rPr>
          <w:rFonts w:ascii="Times New Roman" w:eastAsia="Times New Roman" w:hAnsi="Times New Roman" w:cs="Times New Roman"/>
          <w:i/>
          <w:iCs/>
        </w:rPr>
        <w:t xml:space="preserve"> :</w:t>
      </w:r>
      <w:proofErr w:type="gramEnd"/>
      <w:r w:rsidRPr="008B0C98">
        <w:rPr>
          <w:rFonts w:ascii="Times New Roman" w:eastAsia="Times New Roman" w:hAnsi="Times New Roman" w:cs="Times New Roman"/>
          <w:i/>
          <w:iCs/>
        </w:rPr>
        <w:t xml:space="preserve"> Scopus, 2025</w:t>
      </w:r>
      <w:r>
        <w:rPr>
          <w:rFonts w:ascii="Times New Roman" w:eastAsia="Times New Roman" w:hAnsi="Times New Roman" w:cs="Times New Roman"/>
        </w:rPr>
        <w:t xml:space="preserve"> </w:t>
      </w:r>
    </w:p>
    <w:p w14:paraId="0FC3374D" w14:textId="59FFF69C" w:rsidR="00762A1D" w:rsidRDefault="00000000" w:rsidP="00C72D16">
      <w:pPr>
        <w:jc w:val="both"/>
        <w:rPr>
          <w:rFonts w:ascii="Times New Roman" w:eastAsia="Times New Roman" w:hAnsi="Times New Roman" w:cs="Times New Roman"/>
        </w:rPr>
      </w:pPr>
      <w:r>
        <w:rPr>
          <w:rFonts w:ascii="Times New Roman" w:eastAsia="Times New Roman" w:hAnsi="Times New Roman" w:cs="Times New Roman"/>
        </w:rPr>
        <w:t xml:space="preserve">Selain </w:t>
      </w:r>
      <w:proofErr w:type="spellStart"/>
      <w:r>
        <w:rPr>
          <w:rFonts w:ascii="Times New Roman" w:eastAsia="Times New Roman" w:hAnsi="Times New Roman" w:cs="Times New Roman"/>
        </w:rPr>
        <w:t>kelompok</w:t>
      </w:r>
      <w:proofErr w:type="spellEnd"/>
      <w:r>
        <w:rPr>
          <w:rFonts w:ascii="Times New Roman" w:eastAsia="Times New Roman" w:hAnsi="Times New Roman" w:cs="Times New Roman"/>
        </w:rPr>
        <w:t xml:space="preserve"> inti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Elie I. Bouri (Lebanon, USEK Business School) memberikan kontribusi signifikan melalui studinya tentang investasi hijau dan pasar keuangan internasional. Dari Indonesia, Jauhari, Wakhid Ahmad dari Universitas Negeri Malang menegaskan bahwa peneliti Asia Tenggara harus berpartisipasi dalam percaturan akademik global yang berkaitan dengan keberlanjutan. Aleksy Kwilinski dari Akademi Sains dan Perdagangan London juga terkenal dengan penelitian keuangan yang inovatif dan berkelanjutan. Sementara itu, Liu, Yang (China) dan Park, Donghyun (Asian Development Bank, Korea Selatan) menunjukkan betapa pentingnya Asia Timur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mendorong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keuangan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hijau</w:t>
      </w:r>
      <w:proofErr w:type="spellEnd"/>
      <w:r>
        <w:rPr>
          <w:rFonts w:ascii="Times New Roman" w:eastAsia="Times New Roman" w:hAnsi="Times New Roman" w:cs="Times New Roman"/>
        </w:rPr>
        <w:t>.</w:t>
      </w:r>
      <w:r w:rsidR="00C72D16">
        <w:rPr>
          <w:rFonts w:ascii="Times New Roman" w:eastAsia="Times New Roman" w:hAnsi="Times New Roman" w:cs="Times New Roman"/>
        </w:rPr>
        <w:t xml:space="preserve"> </w:t>
      </w:r>
      <w:proofErr w:type="spellStart"/>
      <w:r>
        <w:rPr>
          <w:rFonts w:ascii="Times New Roman" w:eastAsia="Times New Roman" w:hAnsi="Times New Roman" w:cs="Times New Roman"/>
        </w:rPr>
        <w:t>Terakhir</w:t>
      </w:r>
      <w:proofErr w:type="spellEnd"/>
      <w:r>
        <w:rPr>
          <w:rFonts w:ascii="Times New Roman" w:eastAsia="Times New Roman" w:hAnsi="Times New Roman" w:cs="Times New Roman"/>
        </w:rPr>
        <w:t>, Chen, Xu (China), yang menulis tiga publikasi, masih memberikan kontribusi yang signifikan meskipun jumlah dokumennya lebih sedikit daripada penulis lain.</w:t>
      </w:r>
    </w:p>
    <w:p w14:paraId="130F7A25" w14:textId="4BA4B416" w:rsidR="00762A1D" w:rsidRPr="00C72D16" w:rsidRDefault="00000000" w:rsidP="00C72D16">
      <w:pPr>
        <w:jc w:val="both"/>
        <w:rPr>
          <w:rFonts w:ascii="Times New Roman" w:eastAsia="Times New Roman" w:hAnsi="Times New Roman" w:cs="Times New Roman"/>
        </w:rPr>
      </w:pPr>
      <w:r>
        <w:rPr>
          <w:rFonts w:ascii="Times New Roman" w:eastAsia="Times New Roman" w:hAnsi="Times New Roman" w:cs="Times New Roman"/>
        </w:rPr>
        <w:t xml:space="preserve">Secara keseluruhan, pola ini menunjukkan bahwa penulis dengan sitasi tinggi berasal dari berbagai belahan dunia Eropa, Asia, dan Timur Tengah, dengan konsentrasi besar di Ukraina, China, India, dan Swedia. Hal ini menunjukkan bahwa penelitian investasi hijau adalah multidisipliner, lintas batas, dan kolaboratif, dan mencerminkan </w:t>
      </w:r>
      <w:proofErr w:type="spellStart"/>
      <w:r>
        <w:rPr>
          <w:rFonts w:ascii="Times New Roman" w:eastAsia="Times New Roman" w:hAnsi="Times New Roman" w:cs="Times New Roman"/>
        </w:rPr>
        <w:t>perhatian</w:t>
      </w:r>
      <w:proofErr w:type="spellEnd"/>
      <w:r>
        <w:rPr>
          <w:rFonts w:ascii="Times New Roman" w:eastAsia="Times New Roman" w:hAnsi="Times New Roman" w:cs="Times New Roman"/>
        </w:rPr>
        <w:t xml:space="preserve"> global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transisi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menuju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ekonomi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berkelanjutan</w:t>
      </w:r>
      <w:proofErr w:type="spellEnd"/>
      <w:r>
        <w:rPr>
          <w:rFonts w:ascii="Times New Roman" w:eastAsia="Times New Roman" w:hAnsi="Times New Roman" w:cs="Times New Roman"/>
        </w:rPr>
        <w:t>.</w:t>
      </w:r>
    </w:p>
    <w:p w14:paraId="53CD97A9" w14:textId="77777777" w:rsidR="00762A1D" w:rsidRPr="008B0C98" w:rsidRDefault="00000000">
      <w:pPr>
        <w:jc w:val="both"/>
        <w:rPr>
          <w:rFonts w:ascii="Times New Roman" w:eastAsia="Times New Roman" w:hAnsi="Times New Roman" w:cs="Times New Roman"/>
          <w:b/>
          <w:lang w:val="nl-NL"/>
        </w:rPr>
      </w:pPr>
      <w:r w:rsidRPr="008B0C98">
        <w:rPr>
          <w:rFonts w:ascii="Times New Roman" w:eastAsia="Times New Roman" w:hAnsi="Times New Roman" w:cs="Times New Roman"/>
          <w:b/>
          <w:lang w:val="nl-NL"/>
        </w:rPr>
        <w:t>KESIMPULAN</w:t>
      </w:r>
    </w:p>
    <w:p w14:paraId="11400D68" w14:textId="77777777" w:rsidR="00762A1D" w:rsidRPr="008B0C98" w:rsidRDefault="00000000">
      <w:pPr>
        <w:jc w:val="both"/>
        <w:rPr>
          <w:rFonts w:ascii="Times New Roman" w:eastAsia="Times New Roman" w:hAnsi="Times New Roman" w:cs="Times New Roman"/>
          <w:lang w:val="nl-NL"/>
        </w:rPr>
      </w:pPr>
      <w:r w:rsidRPr="008B0C98">
        <w:rPr>
          <w:rFonts w:ascii="Times New Roman" w:eastAsia="Times New Roman" w:hAnsi="Times New Roman" w:cs="Times New Roman"/>
          <w:lang w:val="nl-NL"/>
        </w:rPr>
        <w:t>Melalui analisis bibliometrik pada tahun 2015–2025, penelitian ini memberikan gambaran menyeluruh tentang konteks akademik investasi hijau. Hasil penelitian menunjukkan peningkatan publikasi dan sitasi tentang investasi hijau setelah Perjanjian Paris 2015. Hasil ini menunjukkan betapa pentingnya masalah keberlanjutan dan seberapa penting investasi hijau dalam mendukung transisi energi, mitigasi perubahan iklim, dan pertumbuhan ekonomi berkelanjutan.</w:t>
      </w:r>
    </w:p>
    <w:p w14:paraId="614F0E8B" w14:textId="77777777" w:rsidR="00762A1D" w:rsidRPr="008B0C98" w:rsidRDefault="00000000">
      <w:pPr>
        <w:jc w:val="both"/>
        <w:rPr>
          <w:rFonts w:ascii="Times New Roman" w:eastAsia="Times New Roman" w:hAnsi="Times New Roman" w:cs="Times New Roman"/>
          <w:lang w:val="nl-NL"/>
        </w:rPr>
      </w:pPr>
      <w:r w:rsidRPr="008B0C98">
        <w:rPr>
          <w:rFonts w:ascii="Times New Roman" w:eastAsia="Times New Roman" w:hAnsi="Times New Roman" w:cs="Times New Roman"/>
          <w:lang w:val="nl-NL"/>
        </w:rPr>
        <w:lastRenderedPageBreak/>
        <w:t>Menurut analisis distribusi publikasi, dominasi ditunjukkan di negara Tiongkok, Amerika Serikat, Inggris, Jerman, dan Italia, serta keterlibatan aktif dari negara berkembang seperti India dan Indonesia. Hasilnya menunjukkan bahwa investasi hijau telah menjadi agenda internasional yang melibatkan negara maju dan berkembang. Di Asia dan Eropa, lembaga penelitian dan universitas muncul sebagai tempat untuk berkolaborasi dalam penelitian dan memperkuat jejaring penelitian internasional.</w:t>
      </w:r>
    </w:p>
    <w:p w14:paraId="30EDDA71" w14:textId="77777777" w:rsidR="00762A1D" w:rsidRDefault="00000000">
      <w:pPr>
        <w:jc w:val="both"/>
        <w:rPr>
          <w:rFonts w:ascii="Times New Roman" w:eastAsia="Times New Roman" w:hAnsi="Times New Roman" w:cs="Times New Roman"/>
        </w:rPr>
      </w:pPr>
      <w:r w:rsidRPr="008B0C98">
        <w:rPr>
          <w:rFonts w:ascii="Times New Roman" w:eastAsia="Times New Roman" w:hAnsi="Times New Roman" w:cs="Times New Roman"/>
          <w:lang w:val="nl-NL"/>
        </w:rPr>
        <w:t xml:space="preserve">Selain itu, penelitian ini menemukan penulis penting seperti Dutta, Lyulyov, Pimonenko, Uddin, dan Bouri. Karya mereka membantu mengintegrasikan masalah keberlanjutan, keuangan hijau, dan energi. </w:t>
      </w:r>
      <w:r>
        <w:rPr>
          <w:rFonts w:ascii="Times New Roman" w:eastAsia="Times New Roman" w:hAnsi="Times New Roman" w:cs="Times New Roman"/>
        </w:rPr>
        <w:t xml:space="preserve">Sifat </w:t>
      </w:r>
      <w:proofErr w:type="spellStart"/>
      <w:r>
        <w:rPr>
          <w:rFonts w:ascii="Times New Roman" w:eastAsia="Times New Roman" w:hAnsi="Times New Roman" w:cs="Times New Roman"/>
        </w:rPr>
        <w:t>interdisipliner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yang memadukan perspektif ekonomi, sosial, dan kebijakan, ditunjukkan oleh publikasi di jurnal terkemuka seperti Journal of Cleaner Production, Business Strategy and the Environment, dan Journal of Risk and Financial Management.</w:t>
      </w:r>
    </w:p>
    <w:p w14:paraId="2FE1E2C4" w14:textId="77777777" w:rsidR="00762A1D" w:rsidRDefault="00000000">
      <w:pPr>
        <w:jc w:val="both"/>
        <w:rPr>
          <w:rFonts w:ascii="Times New Roman" w:eastAsia="Times New Roman" w:hAnsi="Times New Roman" w:cs="Times New Roman"/>
        </w:rPr>
      </w:pPr>
      <w:r>
        <w:rPr>
          <w:rFonts w:ascii="Times New Roman" w:eastAsia="Times New Roman" w:hAnsi="Times New Roman" w:cs="Times New Roman"/>
        </w:rPr>
        <w:t>Studi ini menekankan betapa pentingnya memperkuat kebijakan yang mendukung investasi hijau, yang mencakup regulasi yang jelas, insentif fiskal, dan bantuan lembaga keuangan, untuk mempercepat transisi ke ekonomi rendah karbon. Selain itu, hasil penelitian ini membuka ruang untuk penelitian lebih lanjut, terutama tentang bagaimana teknologi digital, blockchain, dan pembiayaan inovatif dapat diintegrasikan untuk mendukung keberlanjutan.</w:t>
      </w:r>
    </w:p>
    <w:p w14:paraId="07C53826" w14:textId="77777777" w:rsidR="00762A1D" w:rsidRPr="008B0C98" w:rsidRDefault="00000000">
      <w:pPr>
        <w:jc w:val="both"/>
        <w:rPr>
          <w:rFonts w:ascii="Times New Roman" w:eastAsia="Times New Roman" w:hAnsi="Times New Roman" w:cs="Times New Roman"/>
          <w:lang w:val="nl-NL"/>
        </w:rPr>
      </w:pPr>
      <w:r w:rsidRPr="008B0C98">
        <w:rPr>
          <w:rFonts w:ascii="Times New Roman" w:eastAsia="Times New Roman" w:hAnsi="Times New Roman" w:cs="Times New Roman"/>
          <w:lang w:val="nl-NL"/>
        </w:rPr>
        <w:t>Oleh karena itu, dapat disimpulkan bahwa investasi hijau telah menjadi topik penelitian yang kuat, penting, dan terus berkembang. Itu juga memainkan peran penting dalam mewujudkan tujuan pembangunan berkelanjutan (SDGs) baik di tingkat internasional maupun nasional.</w:t>
      </w:r>
    </w:p>
    <w:p w14:paraId="3407AD19" w14:textId="77777777" w:rsidR="00762A1D" w:rsidRDefault="00000000">
      <w:pPr>
        <w:jc w:val="both"/>
        <w:rPr>
          <w:rFonts w:ascii="Times New Roman" w:eastAsia="Times New Roman" w:hAnsi="Times New Roman" w:cs="Times New Roman"/>
          <w:b/>
        </w:rPr>
      </w:pPr>
      <w:r>
        <w:rPr>
          <w:rFonts w:ascii="Times New Roman" w:eastAsia="Times New Roman" w:hAnsi="Times New Roman" w:cs="Times New Roman"/>
          <w:b/>
        </w:rPr>
        <w:t>Daftar Pustaka</w:t>
      </w:r>
    </w:p>
    <w:p w14:paraId="7443E7BF" w14:textId="77777777" w:rsidR="00CB1162" w:rsidRPr="00CB1162" w:rsidRDefault="00000000" w:rsidP="00CB1162">
      <w:pPr>
        <w:spacing w:line="240" w:lineRule="auto"/>
        <w:ind w:left="567" w:hanging="567"/>
        <w:jc w:val="both"/>
        <w:rPr>
          <w:rFonts w:asciiTheme="majorBidi" w:eastAsia="Times New Roman" w:hAnsiTheme="majorBidi" w:cstheme="majorBidi"/>
        </w:rPr>
      </w:pPr>
      <w:r w:rsidRPr="00CB1162">
        <w:rPr>
          <w:rFonts w:asciiTheme="majorBidi" w:eastAsia="Times New Roman" w:hAnsiTheme="majorBidi" w:cstheme="majorBidi"/>
        </w:rPr>
        <w:t xml:space="preserve">Aria, M., &amp; Cuccurullo, C. (2017). bibliometrix: An R-tool for comprehensive science mapping analysis. </w:t>
      </w:r>
      <w:r w:rsidRPr="00CB1162">
        <w:rPr>
          <w:rFonts w:asciiTheme="majorBidi" w:eastAsia="Times New Roman" w:hAnsiTheme="majorBidi" w:cstheme="majorBidi"/>
          <w:i/>
        </w:rPr>
        <w:t xml:space="preserve">Journal of </w:t>
      </w:r>
      <w:proofErr w:type="spellStart"/>
      <w:r w:rsidRPr="00CB1162">
        <w:rPr>
          <w:rFonts w:asciiTheme="majorBidi" w:eastAsia="Times New Roman" w:hAnsiTheme="majorBidi" w:cstheme="majorBidi"/>
          <w:i/>
        </w:rPr>
        <w:t>Informetrics</w:t>
      </w:r>
      <w:proofErr w:type="spellEnd"/>
      <w:r w:rsidRPr="00CB1162">
        <w:rPr>
          <w:rFonts w:asciiTheme="majorBidi" w:eastAsia="Times New Roman" w:hAnsiTheme="majorBidi" w:cstheme="majorBidi"/>
        </w:rPr>
        <w:t>, 11(4), 959-975.</w:t>
      </w:r>
    </w:p>
    <w:p w14:paraId="7315520D" w14:textId="77777777" w:rsidR="00CB1162" w:rsidRPr="00CB1162" w:rsidRDefault="00DD4A31" w:rsidP="00CB1162">
      <w:pPr>
        <w:spacing w:line="240" w:lineRule="auto"/>
        <w:ind w:left="567" w:hanging="567"/>
        <w:jc w:val="both"/>
        <w:rPr>
          <w:rFonts w:asciiTheme="majorBidi" w:eastAsia="Times New Roman" w:hAnsiTheme="majorBidi" w:cstheme="majorBidi"/>
        </w:rPr>
      </w:pPr>
      <w:r w:rsidRPr="00DD4A31">
        <w:rPr>
          <w:rFonts w:asciiTheme="majorBidi" w:eastAsia="Times New Roman" w:hAnsiTheme="majorBidi" w:cstheme="majorBidi"/>
        </w:rPr>
        <w:t xml:space="preserve">Blakeman, K. (2018). </w:t>
      </w:r>
      <w:proofErr w:type="gramStart"/>
      <w:r w:rsidRPr="00DD4A31">
        <w:rPr>
          <w:rFonts w:asciiTheme="majorBidi" w:eastAsia="Times New Roman" w:hAnsiTheme="majorBidi" w:cstheme="majorBidi"/>
        </w:rPr>
        <w:t>Biologically-derived</w:t>
      </w:r>
      <w:proofErr w:type="gramEnd"/>
      <w:r w:rsidRPr="00DD4A31">
        <w:rPr>
          <w:rFonts w:asciiTheme="majorBidi" w:eastAsia="Times New Roman" w:hAnsiTheme="majorBidi" w:cstheme="majorBidi"/>
        </w:rPr>
        <w:t xml:space="preserve"> nanomaterials for targeted therapeutic delivery to the brain. </w:t>
      </w:r>
      <w:r w:rsidRPr="00DD4A31">
        <w:rPr>
          <w:rFonts w:asciiTheme="majorBidi" w:eastAsia="Times New Roman" w:hAnsiTheme="majorBidi" w:cstheme="majorBidi"/>
          <w:i/>
          <w:iCs/>
        </w:rPr>
        <w:t>Science Progress</w:t>
      </w:r>
      <w:r w:rsidRPr="00DD4A31">
        <w:rPr>
          <w:rFonts w:asciiTheme="majorBidi" w:eastAsia="Times New Roman" w:hAnsiTheme="majorBidi" w:cstheme="majorBidi"/>
        </w:rPr>
        <w:t xml:space="preserve">, </w:t>
      </w:r>
      <w:r w:rsidRPr="00DD4A31">
        <w:rPr>
          <w:rFonts w:asciiTheme="majorBidi" w:eastAsia="Times New Roman" w:hAnsiTheme="majorBidi" w:cstheme="majorBidi"/>
          <w:i/>
          <w:iCs/>
        </w:rPr>
        <w:t>101</w:t>
      </w:r>
      <w:r w:rsidRPr="00DD4A31">
        <w:rPr>
          <w:rFonts w:asciiTheme="majorBidi" w:eastAsia="Times New Roman" w:hAnsiTheme="majorBidi" w:cstheme="majorBidi"/>
        </w:rPr>
        <w:t xml:space="preserve">(3), 293–310. </w:t>
      </w:r>
      <w:hyperlink r:id="rId13" w:history="1">
        <w:r w:rsidRPr="00DD4A31">
          <w:rPr>
            <w:rStyle w:val="Hyperlink"/>
            <w:rFonts w:asciiTheme="majorBidi" w:eastAsia="Times New Roman" w:hAnsiTheme="majorBidi" w:cstheme="majorBidi"/>
          </w:rPr>
          <w:t>https://doi.org/10.3184/003685018X15337564592469</w:t>
        </w:r>
      </w:hyperlink>
    </w:p>
    <w:p w14:paraId="5BF58EED" w14:textId="77777777" w:rsidR="00CB1162" w:rsidRPr="00CB1162" w:rsidRDefault="00000000" w:rsidP="00CB1162">
      <w:pPr>
        <w:spacing w:line="240" w:lineRule="auto"/>
        <w:ind w:left="567" w:hanging="567"/>
        <w:jc w:val="both"/>
        <w:rPr>
          <w:rFonts w:asciiTheme="majorBidi" w:eastAsia="Times New Roman" w:hAnsiTheme="majorBidi" w:cstheme="majorBidi"/>
        </w:rPr>
      </w:pPr>
      <w:r w:rsidRPr="00CB1162">
        <w:rPr>
          <w:rFonts w:asciiTheme="majorBidi" w:eastAsia="Times New Roman" w:hAnsiTheme="majorBidi" w:cstheme="majorBidi"/>
        </w:rPr>
        <w:t xml:space="preserve">Chen, Y., &amp; Feng, J. (2019). Do corporate green investments improve environmental performance? Evidence from the perspective of efficiency. </w:t>
      </w:r>
      <w:r w:rsidRPr="00CB1162">
        <w:rPr>
          <w:rFonts w:asciiTheme="majorBidi" w:eastAsia="Times New Roman" w:hAnsiTheme="majorBidi" w:cstheme="majorBidi"/>
          <w:i/>
        </w:rPr>
        <w:t>China Journal of Accounting Studies, 7</w:t>
      </w:r>
      <w:r w:rsidRPr="00CB1162">
        <w:rPr>
          <w:rFonts w:asciiTheme="majorBidi" w:eastAsia="Times New Roman" w:hAnsiTheme="majorBidi" w:cstheme="majorBidi"/>
        </w:rPr>
        <w:t>(1), 62–92.</w:t>
      </w:r>
      <w:hyperlink r:id="rId14">
        <w:r w:rsidR="00CB1162" w:rsidRPr="00CB1162">
          <w:rPr>
            <w:rFonts w:asciiTheme="majorBidi" w:eastAsia="Times New Roman" w:hAnsiTheme="majorBidi" w:cstheme="majorBidi"/>
          </w:rPr>
          <w:t xml:space="preserve"> </w:t>
        </w:r>
      </w:hyperlink>
      <w:hyperlink r:id="rId15">
        <w:r w:rsidR="00CB1162" w:rsidRPr="00CB1162">
          <w:rPr>
            <w:rFonts w:asciiTheme="majorBidi" w:eastAsia="Times New Roman" w:hAnsiTheme="majorBidi" w:cstheme="majorBidi"/>
            <w:color w:val="1155CC"/>
            <w:u w:val="single"/>
          </w:rPr>
          <w:t>https://doi.org/10.1080/21697213.2019.1625578</w:t>
        </w:r>
      </w:hyperlink>
    </w:p>
    <w:p w14:paraId="09DCCB69" w14:textId="77777777" w:rsidR="00CB1162" w:rsidRPr="007F699A" w:rsidRDefault="00000000" w:rsidP="00CB1162">
      <w:pPr>
        <w:spacing w:line="240" w:lineRule="auto"/>
        <w:ind w:left="567" w:hanging="567"/>
        <w:jc w:val="both"/>
        <w:rPr>
          <w:rFonts w:asciiTheme="majorBidi" w:eastAsia="Times New Roman" w:hAnsiTheme="majorBidi" w:cstheme="majorBidi"/>
          <w:lang w:val="nl-NL"/>
        </w:rPr>
      </w:pPr>
      <w:r w:rsidRPr="00CB1162">
        <w:rPr>
          <w:rFonts w:asciiTheme="majorBidi" w:eastAsia="Times New Roman" w:hAnsiTheme="majorBidi" w:cstheme="majorBidi"/>
        </w:rPr>
        <w:t xml:space="preserve">Chien, F. (2023). The impact of green investment, eco-innovation, and financial inclusion on sustainable development: Evidence from China. </w:t>
      </w:r>
      <w:r w:rsidRPr="007F699A">
        <w:rPr>
          <w:rFonts w:asciiTheme="majorBidi" w:eastAsia="Times New Roman" w:hAnsiTheme="majorBidi" w:cstheme="majorBidi"/>
          <w:i/>
          <w:lang w:val="nl-NL"/>
        </w:rPr>
        <w:t>Inzinerine Ekonomika–Engineering Economics, 34</w:t>
      </w:r>
      <w:r w:rsidRPr="007F699A">
        <w:rPr>
          <w:rFonts w:asciiTheme="majorBidi" w:eastAsia="Times New Roman" w:hAnsiTheme="majorBidi" w:cstheme="majorBidi"/>
          <w:lang w:val="nl-NL"/>
        </w:rPr>
        <w:t>(1), 17–31.</w:t>
      </w:r>
      <w:r w:rsidR="00CB1162">
        <w:fldChar w:fldCharType="begin"/>
      </w:r>
      <w:r w:rsidR="00CB1162" w:rsidRPr="007F699A">
        <w:rPr>
          <w:lang w:val="nl-NL"/>
        </w:rPr>
        <w:instrText>HYPERLINK "https://doi.org/10.5755/j01.ee.34.1.32159?utm_source=chatgpt.com" \h</w:instrText>
      </w:r>
      <w:r w:rsidR="00CB1162">
        <w:fldChar w:fldCharType="separate"/>
      </w:r>
      <w:r w:rsidR="00CB1162" w:rsidRPr="007F699A">
        <w:rPr>
          <w:rFonts w:asciiTheme="majorBidi" w:eastAsia="Times New Roman" w:hAnsiTheme="majorBidi" w:cstheme="majorBidi"/>
          <w:lang w:val="nl-NL"/>
        </w:rPr>
        <w:t xml:space="preserve"> </w:t>
      </w:r>
      <w:r w:rsidR="00CB1162">
        <w:fldChar w:fldCharType="end"/>
      </w:r>
      <w:hyperlink r:id="rId16">
        <w:r w:rsidR="00CB1162" w:rsidRPr="007F699A">
          <w:rPr>
            <w:rFonts w:asciiTheme="majorBidi" w:eastAsia="Times New Roman" w:hAnsiTheme="majorBidi" w:cstheme="majorBidi"/>
            <w:color w:val="1155CC"/>
            <w:u w:val="single"/>
            <w:lang w:val="nl-NL"/>
          </w:rPr>
          <w:t>https://doi.org/10.5755/j01.ee.34.1.32159</w:t>
        </w:r>
      </w:hyperlink>
    </w:p>
    <w:p w14:paraId="40837014" w14:textId="77777777" w:rsidR="00CB1162" w:rsidRPr="00CB1162" w:rsidRDefault="00DD4A31" w:rsidP="00CB1162">
      <w:pPr>
        <w:spacing w:line="240" w:lineRule="auto"/>
        <w:ind w:left="567" w:hanging="567"/>
        <w:jc w:val="both"/>
        <w:rPr>
          <w:rFonts w:asciiTheme="majorBidi" w:eastAsia="Times New Roman" w:hAnsiTheme="majorBidi" w:cstheme="majorBidi"/>
        </w:rPr>
      </w:pPr>
      <w:r w:rsidRPr="007F699A">
        <w:rPr>
          <w:rFonts w:asciiTheme="majorBidi" w:eastAsia="Times New Roman" w:hAnsiTheme="majorBidi" w:cstheme="majorBidi"/>
          <w:color w:val="000000" w:themeColor="text1"/>
          <w:lang w:val="nl-NL"/>
        </w:rPr>
        <w:t xml:space="preserve">Dessouky, N. F. El. </w:t>
      </w:r>
      <w:r w:rsidRPr="00DD4A31">
        <w:rPr>
          <w:rFonts w:asciiTheme="majorBidi" w:eastAsia="Times New Roman" w:hAnsiTheme="majorBidi" w:cstheme="majorBidi"/>
          <w:color w:val="000000" w:themeColor="text1"/>
        </w:rPr>
        <w:t xml:space="preserve">(2024). Green Finance for Sustainable Development Policy: Pathway to Environmental, Economic and Social Resilience. </w:t>
      </w:r>
      <w:r w:rsidRPr="00DD4A31">
        <w:rPr>
          <w:rFonts w:asciiTheme="majorBidi" w:eastAsia="Times New Roman" w:hAnsiTheme="majorBidi" w:cstheme="majorBidi"/>
          <w:i/>
          <w:iCs/>
          <w:color w:val="000000" w:themeColor="text1"/>
        </w:rPr>
        <w:t>2024 International Conference on Sustainable Islamic Business and Finance (SIBF)</w:t>
      </w:r>
      <w:r w:rsidRPr="00DD4A31">
        <w:rPr>
          <w:rFonts w:asciiTheme="majorBidi" w:eastAsia="Times New Roman" w:hAnsiTheme="majorBidi" w:cstheme="majorBidi"/>
          <w:color w:val="000000" w:themeColor="text1"/>
        </w:rPr>
        <w:t xml:space="preserve">, 1–4. </w:t>
      </w:r>
      <w:hyperlink r:id="rId17" w:history="1">
        <w:r w:rsidRPr="00DD4A31">
          <w:rPr>
            <w:rStyle w:val="Hyperlink"/>
            <w:rFonts w:asciiTheme="majorBidi" w:eastAsia="Times New Roman" w:hAnsiTheme="majorBidi" w:cstheme="majorBidi"/>
          </w:rPr>
          <w:t>https://doi.org/10.1109/SIBF63788.2024.10883837</w:t>
        </w:r>
      </w:hyperlink>
    </w:p>
    <w:p w14:paraId="2E708756" w14:textId="77777777" w:rsidR="00CB1162" w:rsidRPr="00CB1162" w:rsidRDefault="00000000" w:rsidP="00CB1162">
      <w:pPr>
        <w:spacing w:line="240" w:lineRule="auto"/>
        <w:ind w:left="567" w:hanging="567"/>
        <w:jc w:val="both"/>
        <w:rPr>
          <w:rFonts w:asciiTheme="majorBidi" w:eastAsia="Times New Roman" w:hAnsiTheme="majorBidi" w:cstheme="majorBidi"/>
        </w:rPr>
      </w:pPr>
      <w:r w:rsidRPr="00CB1162">
        <w:rPr>
          <w:rFonts w:asciiTheme="majorBidi" w:eastAsia="Times New Roman" w:hAnsiTheme="majorBidi" w:cstheme="majorBidi"/>
        </w:rPr>
        <w:t xml:space="preserve">Dutta, A., Jana, R. K., &amp; Das, D. (2020). Do green investments react to oil price shocks? Implications for sustainable development. </w:t>
      </w:r>
      <w:r w:rsidRPr="00CB1162">
        <w:rPr>
          <w:rFonts w:asciiTheme="majorBidi" w:eastAsia="Times New Roman" w:hAnsiTheme="majorBidi" w:cstheme="majorBidi"/>
          <w:i/>
        </w:rPr>
        <w:t>Journal of Cleaner Production, 266,</w:t>
      </w:r>
      <w:r w:rsidRPr="00CB1162">
        <w:rPr>
          <w:rFonts w:asciiTheme="majorBidi" w:eastAsia="Times New Roman" w:hAnsiTheme="majorBidi" w:cstheme="majorBidi"/>
        </w:rPr>
        <w:t xml:space="preserve"> 121956.</w:t>
      </w:r>
      <w:hyperlink r:id="rId18">
        <w:r w:rsidR="00CB1162" w:rsidRPr="00CB1162">
          <w:rPr>
            <w:rFonts w:asciiTheme="majorBidi" w:eastAsia="Times New Roman" w:hAnsiTheme="majorBidi" w:cstheme="majorBidi"/>
          </w:rPr>
          <w:t xml:space="preserve"> </w:t>
        </w:r>
      </w:hyperlink>
      <w:hyperlink r:id="rId19">
        <w:r w:rsidR="00CB1162" w:rsidRPr="00CB1162">
          <w:rPr>
            <w:rFonts w:asciiTheme="majorBidi" w:eastAsia="Times New Roman" w:hAnsiTheme="majorBidi" w:cstheme="majorBidi"/>
            <w:color w:val="1155CC"/>
            <w:u w:val="single"/>
          </w:rPr>
          <w:t>https://doi.org/10.1016/j.jclepro.2020.121956</w:t>
        </w:r>
      </w:hyperlink>
    </w:p>
    <w:p w14:paraId="2082CBA4" w14:textId="77777777" w:rsidR="00CB1162" w:rsidRPr="00CB1162" w:rsidRDefault="00000000" w:rsidP="00CB1162">
      <w:pPr>
        <w:spacing w:line="240" w:lineRule="auto"/>
        <w:ind w:left="567" w:hanging="567"/>
        <w:jc w:val="both"/>
        <w:rPr>
          <w:rFonts w:asciiTheme="majorBidi" w:eastAsia="Times New Roman" w:hAnsiTheme="majorBidi" w:cstheme="majorBidi"/>
        </w:rPr>
      </w:pPr>
      <w:r w:rsidRPr="00CB1162">
        <w:rPr>
          <w:rFonts w:asciiTheme="majorBidi" w:eastAsia="Times New Roman" w:hAnsiTheme="majorBidi" w:cstheme="majorBidi"/>
        </w:rPr>
        <w:lastRenderedPageBreak/>
        <w:t xml:space="preserve">Dutta, A., Bouri, E., Dutta, P., &amp; Saeed, T. (2021). Commodity market risks and green investments: Evidence from India. </w:t>
      </w:r>
      <w:r w:rsidRPr="00CB1162">
        <w:rPr>
          <w:rFonts w:asciiTheme="majorBidi" w:eastAsia="Times New Roman" w:hAnsiTheme="majorBidi" w:cstheme="majorBidi"/>
          <w:i/>
        </w:rPr>
        <w:t>Journal of Cleaner Production, 318,</w:t>
      </w:r>
      <w:r w:rsidRPr="00CB1162">
        <w:rPr>
          <w:rFonts w:asciiTheme="majorBidi" w:eastAsia="Times New Roman" w:hAnsiTheme="majorBidi" w:cstheme="majorBidi"/>
        </w:rPr>
        <w:t xml:space="preserve"> 128523.</w:t>
      </w:r>
      <w:hyperlink r:id="rId20">
        <w:r w:rsidR="00CB1162" w:rsidRPr="00CB1162">
          <w:rPr>
            <w:rFonts w:asciiTheme="majorBidi" w:eastAsia="Times New Roman" w:hAnsiTheme="majorBidi" w:cstheme="majorBidi"/>
          </w:rPr>
          <w:t xml:space="preserve"> </w:t>
        </w:r>
      </w:hyperlink>
      <w:hyperlink r:id="rId21">
        <w:r w:rsidR="00CB1162" w:rsidRPr="00CB1162">
          <w:rPr>
            <w:rFonts w:asciiTheme="majorBidi" w:eastAsia="Times New Roman" w:hAnsiTheme="majorBidi" w:cstheme="majorBidi"/>
            <w:color w:val="1155CC"/>
            <w:u w:val="single"/>
          </w:rPr>
          <w:t>https://doi.org/10.1016/j.jclepro.2021.128523</w:t>
        </w:r>
      </w:hyperlink>
    </w:p>
    <w:p w14:paraId="1EE1513B" w14:textId="77777777" w:rsidR="00CB1162" w:rsidRPr="00CB1162" w:rsidRDefault="00000000" w:rsidP="00CB1162">
      <w:pPr>
        <w:spacing w:line="240" w:lineRule="auto"/>
        <w:ind w:left="567" w:hanging="567"/>
        <w:jc w:val="both"/>
        <w:rPr>
          <w:rFonts w:asciiTheme="majorBidi" w:eastAsia="Times New Roman" w:hAnsiTheme="majorBidi" w:cstheme="majorBidi"/>
        </w:rPr>
      </w:pPr>
      <w:r w:rsidRPr="00CB1162">
        <w:rPr>
          <w:rFonts w:asciiTheme="majorBidi" w:eastAsia="Times New Roman" w:hAnsiTheme="majorBidi" w:cstheme="majorBidi"/>
        </w:rPr>
        <w:t xml:space="preserve">Hossain, M. I., Ong, T. S., Teh, B. H., Said, R. M., &amp; Siow, M. L. (2022). Nexus of stakeholder integration, green investment, green technology adoption and environmental sustainability practices: Evidence from Bangladesh textile SMEs. </w:t>
      </w:r>
      <w:r w:rsidRPr="00CB1162">
        <w:rPr>
          <w:rFonts w:asciiTheme="majorBidi" w:eastAsia="Times New Roman" w:hAnsiTheme="majorBidi" w:cstheme="majorBidi"/>
          <w:i/>
        </w:rPr>
        <w:t>Pertanika Journal of Social Sciences &amp; Humanities, 30</w:t>
      </w:r>
      <w:r w:rsidRPr="00CB1162">
        <w:rPr>
          <w:rFonts w:asciiTheme="majorBidi" w:eastAsia="Times New Roman" w:hAnsiTheme="majorBidi" w:cstheme="majorBidi"/>
        </w:rPr>
        <w:t>(1), 253–281.</w:t>
      </w:r>
      <w:hyperlink r:id="rId22">
        <w:r w:rsidR="00CB1162" w:rsidRPr="00CB1162">
          <w:rPr>
            <w:rFonts w:asciiTheme="majorBidi" w:eastAsia="Times New Roman" w:hAnsiTheme="majorBidi" w:cstheme="majorBidi"/>
          </w:rPr>
          <w:t xml:space="preserve"> </w:t>
        </w:r>
      </w:hyperlink>
      <w:hyperlink r:id="rId23">
        <w:r w:rsidR="00CB1162" w:rsidRPr="00CB1162">
          <w:rPr>
            <w:rFonts w:asciiTheme="majorBidi" w:eastAsia="Times New Roman" w:hAnsiTheme="majorBidi" w:cstheme="majorBidi"/>
            <w:color w:val="1155CC"/>
            <w:u w:val="single"/>
          </w:rPr>
          <w:t>https://doi.org/10.47836/pjssh.30.1.14</w:t>
        </w:r>
      </w:hyperlink>
    </w:p>
    <w:p w14:paraId="78D57D92" w14:textId="77777777" w:rsidR="00CB1162" w:rsidRPr="00CB1162" w:rsidRDefault="00867C72" w:rsidP="00CB1162">
      <w:pPr>
        <w:spacing w:line="240" w:lineRule="auto"/>
        <w:ind w:left="567" w:hanging="567"/>
        <w:jc w:val="both"/>
        <w:rPr>
          <w:rFonts w:asciiTheme="majorBidi" w:eastAsia="Times New Roman" w:hAnsiTheme="majorBidi" w:cstheme="majorBidi"/>
        </w:rPr>
      </w:pPr>
      <w:r w:rsidRPr="00867C72">
        <w:rPr>
          <w:rFonts w:asciiTheme="majorBidi" w:eastAsia="Times New Roman" w:hAnsiTheme="majorBidi" w:cstheme="majorBidi"/>
          <w:color w:val="000000" w:themeColor="text1"/>
        </w:rPr>
        <w:t xml:space="preserve">Igor, S., Nataliia, Y., &amp; Andrey, S. (2024). Conceptual foundations of the movement of innovative capital in conditions of priority development of the “green” economy. </w:t>
      </w:r>
      <w:r w:rsidRPr="00867C72">
        <w:rPr>
          <w:rFonts w:asciiTheme="majorBidi" w:eastAsia="Times New Roman" w:hAnsiTheme="majorBidi" w:cstheme="majorBidi"/>
          <w:i/>
          <w:iCs/>
          <w:color w:val="000000" w:themeColor="text1"/>
        </w:rPr>
        <w:t>BIO Web of Conferences</w:t>
      </w:r>
      <w:r w:rsidRPr="00867C72">
        <w:rPr>
          <w:rFonts w:asciiTheme="majorBidi" w:eastAsia="Times New Roman" w:hAnsiTheme="majorBidi" w:cstheme="majorBidi"/>
          <w:color w:val="000000" w:themeColor="text1"/>
        </w:rPr>
        <w:t xml:space="preserve">, </w:t>
      </w:r>
      <w:r w:rsidRPr="00867C72">
        <w:rPr>
          <w:rFonts w:asciiTheme="majorBidi" w:eastAsia="Times New Roman" w:hAnsiTheme="majorBidi" w:cstheme="majorBidi"/>
          <w:i/>
          <w:iCs/>
          <w:color w:val="000000" w:themeColor="text1"/>
        </w:rPr>
        <w:t>01033</w:t>
      </w:r>
      <w:r w:rsidRPr="00867C72">
        <w:rPr>
          <w:rFonts w:asciiTheme="majorBidi" w:eastAsia="Times New Roman" w:hAnsiTheme="majorBidi" w:cstheme="majorBidi"/>
          <w:color w:val="000000" w:themeColor="text1"/>
        </w:rPr>
        <w:t>, 1–6.</w:t>
      </w:r>
    </w:p>
    <w:p w14:paraId="605E4D41" w14:textId="77777777" w:rsidR="00CB1162" w:rsidRPr="00CB1162" w:rsidRDefault="00000000" w:rsidP="00CB1162">
      <w:pPr>
        <w:spacing w:line="240" w:lineRule="auto"/>
        <w:ind w:left="567" w:hanging="567"/>
        <w:jc w:val="both"/>
        <w:rPr>
          <w:rFonts w:asciiTheme="majorBidi" w:eastAsia="Times New Roman" w:hAnsiTheme="majorBidi" w:cstheme="majorBidi"/>
        </w:rPr>
      </w:pPr>
      <w:proofErr w:type="spellStart"/>
      <w:r w:rsidRPr="00CB1162">
        <w:rPr>
          <w:rFonts w:asciiTheme="majorBidi" w:eastAsia="Times New Roman" w:hAnsiTheme="majorBidi" w:cstheme="majorBidi"/>
        </w:rPr>
        <w:t>Indriastuti</w:t>
      </w:r>
      <w:proofErr w:type="spellEnd"/>
      <w:r w:rsidRPr="00CB1162">
        <w:rPr>
          <w:rFonts w:asciiTheme="majorBidi" w:eastAsia="Times New Roman" w:hAnsiTheme="majorBidi" w:cstheme="majorBidi"/>
        </w:rPr>
        <w:t xml:space="preserve">, M., &amp; </w:t>
      </w:r>
      <w:proofErr w:type="spellStart"/>
      <w:r w:rsidRPr="00CB1162">
        <w:rPr>
          <w:rFonts w:asciiTheme="majorBidi" w:eastAsia="Times New Roman" w:hAnsiTheme="majorBidi" w:cstheme="majorBidi"/>
        </w:rPr>
        <w:t>Chariri</w:t>
      </w:r>
      <w:proofErr w:type="spellEnd"/>
      <w:r w:rsidRPr="00CB1162">
        <w:rPr>
          <w:rFonts w:asciiTheme="majorBidi" w:eastAsia="Times New Roman" w:hAnsiTheme="majorBidi" w:cstheme="majorBidi"/>
        </w:rPr>
        <w:t xml:space="preserve">, A. (2021). The role of green investment and corporate social responsibility investment on sustainable performance. </w:t>
      </w:r>
      <w:r w:rsidRPr="00CB1162">
        <w:rPr>
          <w:rFonts w:asciiTheme="majorBidi" w:eastAsia="Times New Roman" w:hAnsiTheme="majorBidi" w:cstheme="majorBidi"/>
          <w:i/>
        </w:rPr>
        <w:t>Cogent Business &amp; Management, 8</w:t>
      </w:r>
      <w:r w:rsidRPr="00CB1162">
        <w:rPr>
          <w:rFonts w:asciiTheme="majorBidi" w:eastAsia="Times New Roman" w:hAnsiTheme="majorBidi" w:cstheme="majorBidi"/>
        </w:rPr>
        <w:t>(1), 1960120.</w:t>
      </w:r>
      <w:hyperlink r:id="rId24">
        <w:r w:rsidR="00CB1162" w:rsidRPr="00CB1162">
          <w:rPr>
            <w:rFonts w:asciiTheme="majorBidi" w:eastAsia="Times New Roman" w:hAnsiTheme="majorBidi" w:cstheme="majorBidi"/>
          </w:rPr>
          <w:t xml:space="preserve"> </w:t>
        </w:r>
      </w:hyperlink>
      <w:hyperlink r:id="rId25">
        <w:r w:rsidR="00CB1162" w:rsidRPr="00CB1162">
          <w:rPr>
            <w:rFonts w:asciiTheme="majorBidi" w:eastAsia="Times New Roman" w:hAnsiTheme="majorBidi" w:cstheme="majorBidi"/>
            <w:color w:val="1155CC"/>
            <w:u w:val="single"/>
          </w:rPr>
          <w:t>https://doi.org/10.1080/23311975.2021.1960120</w:t>
        </w:r>
      </w:hyperlink>
    </w:p>
    <w:p w14:paraId="1400B571" w14:textId="77777777" w:rsidR="00CB1162" w:rsidRPr="00CB1162" w:rsidRDefault="00000000" w:rsidP="00CB1162">
      <w:pPr>
        <w:spacing w:line="240" w:lineRule="auto"/>
        <w:ind w:left="567" w:hanging="567"/>
        <w:jc w:val="both"/>
        <w:rPr>
          <w:rFonts w:asciiTheme="majorBidi" w:eastAsia="Times New Roman" w:hAnsiTheme="majorBidi" w:cstheme="majorBidi"/>
        </w:rPr>
      </w:pPr>
      <w:r w:rsidRPr="00CB1162">
        <w:rPr>
          <w:rFonts w:asciiTheme="majorBidi" w:eastAsia="Times New Roman" w:hAnsiTheme="majorBidi" w:cstheme="majorBidi"/>
        </w:rPr>
        <w:t xml:space="preserve">Jauhari, W. A., Affifah, D. N., Laksono, P. W., &amp; Utama, D. M. (2024). A closed-loop supply chain inventory model with stochastic demand, exchange rate, green investment, and carbon tax. </w:t>
      </w:r>
      <w:r w:rsidRPr="00CB1162">
        <w:rPr>
          <w:rFonts w:asciiTheme="majorBidi" w:eastAsia="Times New Roman" w:hAnsiTheme="majorBidi" w:cstheme="majorBidi"/>
          <w:i/>
        </w:rPr>
        <w:t>Cleaner Logistics and Supply Chain, 13,</w:t>
      </w:r>
      <w:r w:rsidRPr="00CB1162">
        <w:rPr>
          <w:rFonts w:asciiTheme="majorBidi" w:eastAsia="Times New Roman" w:hAnsiTheme="majorBidi" w:cstheme="majorBidi"/>
        </w:rPr>
        <w:t xml:space="preserve"> 100168.</w:t>
      </w:r>
      <w:hyperlink r:id="rId26">
        <w:r w:rsidR="00CB1162" w:rsidRPr="00CB1162">
          <w:rPr>
            <w:rFonts w:asciiTheme="majorBidi" w:eastAsia="Times New Roman" w:hAnsiTheme="majorBidi" w:cstheme="majorBidi"/>
          </w:rPr>
          <w:t xml:space="preserve"> </w:t>
        </w:r>
      </w:hyperlink>
      <w:hyperlink r:id="rId27">
        <w:r w:rsidR="00CB1162" w:rsidRPr="00CB1162">
          <w:rPr>
            <w:rFonts w:asciiTheme="majorBidi" w:eastAsia="Times New Roman" w:hAnsiTheme="majorBidi" w:cstheme="majorBidi"/>
            <w:color w:val="1155CC"/>
            <w:u w:val="single"/>
          </w:rPr>
          <w:t>https://doi.org/10.1016/j.clscn.2024.100168</w:t>
        </w:r>
      </w:hyperlink>
    </w:p>
    <w:p w14:paraId="1EA99F40" w14:textId="77777777" w:rsidR="00CB1162" w:rsidRPr="00CB1162" w:rsidRDefault="00000000" w:rsidP="00CB1162">
      <w:pPr>
        <w:spacing w:line="240" w:lineRule="auto"/>
        <w:ind w:left="567" w:hanging="567"/>
        <w:jc w:val="both"/>
        <w:rPr>
          <w:rFonts w:asciiTheme="majorBidi" w:eastAsia="Times New Roman" w:hAnsiTheme="majorBidi" w:cstheme="majorBidi"/>
        </w:rPr>
      </w:pPr>
      <w:proofErr w:type="spellStart"/>
      <w:r w:rsidRPr="00CB1162">
        <w:rPr>
          <w:rFonts w:asciiTheme="majorBidi" w:eastAsia="Times New Roman" w:hAnsiTheme="majorBidi" w:cstheme="majorBidi"/>
        </w:rPr>
        <w:t>Khalegi</w:t>
      </w:r>
      <w:proofErr w:type="spellEnd"/>
      <w:r w:rsidRPr="00CB1162">
        <w:rPr>
          <w:rFonts w:asciiTheme="majorBidi" w:eastAsia="Times New Roman" w:hAnsiTheme="majorBidi" w:cstheme="majorBidi"/>
        </w:rPr>
        <w:t xml:space="preserve">, F., Kadyraliev, A., Tursunalieva, D., Orozbekov, A., &amp; Bigali, A. (2024). Blockchain and sustainable finance: Enhancing transparency and efficiency in green investments. </w:t>
      </w:r>
      <w:r w:rsidRPr="00CB1162">
        <w:rPr>
          <w:rFonts w:asciiTheme="majorBidi" w:eastAsia="Times New Roman" w:hAnsiTheme="majorBidi" w:cstheme="majorBidi"/>
          <w:i/>
        </w:rPr>
        <w:t>Scientific Bulletin of Mukachevo State University. Series “Economics”, 11</w:t>
      </w:r>
      <w:r w:rsidRPr="00CB1162">
        <w:rPr>
          <w:rFonts w:asciiTheme="majorBidi" w:eastAsia="Times New Roman" w:hAnsiTheme="majorBidi" w:cstheme="majorBidi"/>
        </w:rPr>
        <w:t xml:space="preserve">(3), 125–137. </w:t>
      </w:r>
      <w:hyperlink r:id="rId28">
        <w:r w:rsidR="00CB1162" w:rsidRPr="00CB1162">
          <w:rPr>
            <w:rFonts w:asciiTheme="majorBidi" w:eastAsia="Times New Roman" w:hAnsiTheme="majorBidi" w:cstheme="majorBidi"/>
            <w:color w:val="1155CC"/>
            <w:u w:val="single"/>
          </w:rPr>
          <w:t>https://doi.org/10.52566/msu-econ3.2024.125</w:t>
        </w:r>
      </w:hyperlink>
    </w:p>
    <w:p w14:paraId="50148440" w14:textId="77777777" w:rsidR="00CB1162" w:rsidRPr="00CB1162" w:rsidRDefault="00000000" w:rsidP="00CB1162">
      <w:pPr>
        <w:spacing w:line="240" w:lineRule="auto"/>
        <w:ind w:left="567" w:hanging="567"/>
        <w:jc w:val="both"/>
        <w:rPr>
          <w:rFonts w:asciiTheme="majorBidi" w:eastAsia="Times New Roman" w:hAnsiTheme="majorBidi" w:cstheme="majorBidi"/>
        </w:rPr>
      </w:pPr>
      <w:r w:rsidRPr="00CB1162">
        <w:rPr>
          <w:rFonts w:asciiTheme="majorBidi" w:eastAsia="Times New Roman" w:hAnsiTheme="majorBidi" w:cstheme="majorBidi"/>
        </w:rPr>
        <w:t xml:space="preserve">Lin, B., &amp; Xie, Y. (2025). How does digital finance drive energy transition? A green investment-based perspective. </w:t>
      </w:r>
      <w:r w:rsidRPr="00CB1162">
        <w:rPr>
          <w:rFonts w:asciiTheme="majorBidi" w:eastAsia="Times New Roman" w:hAnsiTheme="majorBidi" w:cstheme="majorBidi"/>
          <w:i/>
        </w:rPr>
        <w:t>Financial Innovation, 11,</w:t>
      </w:r>
      <w:r w:rsidRPr="00CB1162">
        <w:rPr>
          <w:rFonts w:asciiTheme="majorBidi" w:eastAsia="Times New Roman" w:hAnsiTheme="majorBidi" w:cstheme="majorBidi"/>
        </w:rPr>
        <w:t xml:space="preserve"> 94.</w:t>
      </w:r>
      <w:hyperlink r:id="rId29">
        <w:r w:rsidR="00CB1162" w:rsidRPr="00CB1162">
          <w:rPr>
            <w:rFonts w:asciiTheme="majorBidi" w:eastAsia="Times New Roman" w:hAnsiTheme="majorBidi" w:cstheme="majorBidi"/>
          </w:rPr>
          <w:t xml:space="preserve"> </w:t>
        </w:r>
      </w:hyperlink>
      <w:hyperlink r:id="rId30">
        <w:r w:rsidR="00CB1162" w:rsidRPr="00CB1162">
          <w:rPr>
            <w:rFonts w:asciiTheme="majorBidi" w:eastAsia="Times New Roman" w:hAnsiTheme="majorBidi" w:cstheme="majorBidi"/>
            <w:color w:val="1155CC"/>
            <w:u w:val="single"/>
          </w:rPr>
          <w:t>https://doi.org/10.1186/s40854-025-00772-1</w:t>
        </w:r>
      </w:hyperlink>
    </w:p>
    <w:p w14:paraId="3AC4610D" w14:textId="77777777" w:rsidR="00CB1162" w:rsidRPr="00CB1162" w:rsidRDefault="00000000" w:rsidP="00CB1162">
      <w:pPr>
        <w:spacing w:line="240" w:lineRule="auto"/>
        <w:ind w:left="567" w:hanging="567"/>
        <w:jc w:val="both"/>
        <w:rPr>
          <w:rFonts w:asciiTheme="majorBidi" w:eastAsia="Times New Roman" w:hAnsiTheme="majorBidi" w:cstheme="majorBidi"/>
        </w:rPr>
      </w:pPr>
      <w:r w:rsidRPr="00CB1162">
        <w:rPr>
          <w:rFonts w:asciiTheme="majorBidi" w:eastAsia="Times New Roman" w:hAnsiTheme="majorBidi" w:cstheme="majorBidi"/>
        </w:rPr>
        <w:t xml:space="preserve">Maharani, A., Agustia, D., &amp; Qomariyah, A. (2023). The mediating role of green investment in political connection and carbon information disclosure: Empirical evidence in emerging stock market. </w:t>
      </w:r>
      <w:r w:rsidRPr="00CB1162">
        <w:rPr>
          <w:rFonts w:asciiTheme="majorBidi" w:eastAsia="Times New Roman" w:hAnsiTheme="majorBidi" w:cstheme="majorBidi"/>
          <w:i/>
        </w:rPr>
        <w:t>Cogent Business &amp; Management, 10</w:t>
      </w:r>
      <w:r w:rsidRPr="00CB1162">
        <w:rPr>
          <w:rFonts w:asciiTheme="majorBidi" w:eastAsia="Times New Roman" w:hAnsiTheme="majorBidi" w:cstheme="majorBidi"/>
        </w:rPr>
        <w:t>(3), 2264004.</w:t>
      </w:r>
      <w:hyperlink r:id="rId31">
        <w:r w:rsidR="00CB1162" w:rsidRPr="00CB1162">
          <w:rPr>
            <w:rFonts w:asciiTheme="majorBidi" w:eastAsia="Times New Roman" w:hAnsiTheme="majorBidi" w:cstheme="majorBidi"/>
          </w:rPr>
          <w:t xml:space="preserve"> </w:t>
        </w:r>
      </w:hyperlink>
      <w:hyperlink r:id="rId32">
        <w:r w:rsidR="00CB1162" w:rsidRPr="00CB1162">
          <w:rPr>
            <w:rFonts w:asciiTheme="majorBidi" w:eastAsia="Times New Roman" w:hAnsiTheme="majorBidi" w:cstheme="majorBidi"/>
            <w:color w:val="1155CC"/>
            <w:u w:val="single"/>
          </w:rPr>
          <w:t>https://doi.org/10.1080/23311975.2023.2264004</w:t>
        </w:r>
      </w:hyperlink>
    </w:p>
    <w:p w14:paraId="012B3814" w14:textId="77777777" w:rsidR="004656FC" w:rsidRPr="004656FC" w:rsidRDefault="00000000" w:rsidP="004656FC">
      <w:pPr>
        <w:spacing w:line="240" w:lineRule="auto"/>
        <w:ind w:left="567" w:hanging="567"/>
        <w:jc w:val="both"/>
        <w:rPr>
          <w:lang w:val="nl-NL"/>
        </w:rPr>
      </w:pPr>
      <w:r w:rsidRPr="00CB1162">
        <w:rPr>
          <w:rFonts w:asciiTheme="majorBidi" w:eastAsia="Times New Roman" w:hAnsiTheme="majorBidi" w:cstheme="majorBidi"/>
        </w:rPr>
        <w:t xml:space="preserve">Phan, T. C. (2024). Impact of green investments, green economic growth and renewable energy consumption on ESG practices to achieve the sustainable development goals: A sectoral analysis in the ASEAN economies. </w:t>
      </w:r>
      <w:r w:rsidRPr="00CB1162">
        <w:rPr>
          <w:rFonts w:asciiTheme="majorBidi" w:eastAsia="Times New Roman" w:hAnsiTheme="majorBidi" w:cstheme="majorBidi"/>
          <w:i/>
        </w:rPr>
        <w:t>International Journal of Engineering Business Management, 16,</w:t>
      </w:r>
      <w:r w:rsidRPr="00CB1162">
        <w:rPr>
          <w:rFonts w:asciiTheme="majorBidi" w:eastAsia="Times New Roman" w:hAnsiTheme="majorBidi" w:cstheme="majorBidi"/>
        </w:rPr>
        <w:t xml:space="preserve"> 1–12.</w:t>
      </w:r>
      <w:hyperlink r:id="rId33">
        <w:r w:rsidR="00CB1162" w:rsidRPr="00CB1162">
          <w:rPr>
            <w:rFonts w:asciiTheme="majorBidi" w:eastAsia="Times New Roman" w:hAnsiTheme="majorBidi" w:cstheme="majorBidi"/>
          </w:rPr>
          <w:t xml:space="preserve"> </w:t>
        </w:r>
      </w:hyperlink>
      <w:hyperlink r:id="rId34">
        <w:r w:rsidR="00CB1162" w:rsidRPr="004656FC">
          <w:rPr>
            <w:rFonts w:asciiTheme="majorBidi" w:eastAsia="Times New Roman" w:hAnsiTheme="majorBidi" w:cstheme="majorBidi"/>
            <w:color w:val="1155CC"/>
            <w:u w:val="single"/>
            <w:lang w:val="nl-NL"/>
          </w:rPr>
          <w:t>https://doi.org/10.1177/18479790241231725</w:t>
        </w:r>
      </w:hyperlink>
    </w:p>
    <w:p w14:paraId="384B057C" w14:textId="0088E30D" w:rsidR="004656FC" w:rsidRDefault="004656FC" w:rsidP="004656FC">
      <w:pPr>
        <w:spacing w:line="240" w:lineRule="auto"/>
        <w:ind w:left="567" w:hanging="567"/>
        <w:jc w:val="both"/>
        <w:rPr>
          <w:rFonts w:asciiTheme="majorBidi" w:eastAsia="Times New Roman" w:hAnsiTheme="majorBidi" w:cstheme="majorBidi"/>
        </w:rPr>
      </w:pPr>
      <w:r w:rsidRPr="004656FC">
        <w:rPr>
          <w:rFonts w:asciiTheme="majorBidi" w:eastAsia="Times New Roman" w:hAnsiTheme="majorBidi" w:cstheme="majorBidi"/>
          <w:lang w:val="nl-NL"/>
        </w:rPr>
        <w:t xml:space="preserve">Tekin, B., Dirir, S. A., &amp; Aden, K. (2025). </w:t>
      </w:r>
      <w:r w:rsidRPr="004656FC">
        <w:rPr>
          <w:rFonts w:asciiTheme="majorBidi" w:eastAsia="Times New Roman" w:hAnsiTheme="majorBidi" w:cstheme="majorBidi"/>
        </w:rPr>
        <w:t xml:space="preserve">Integrating sustainable finance into energy policies: A comprehensive study on the influence of green investments on energy performance in OECD nations. </w:t>
      </w:r>
      <w:r w:rsidRPr="004656FC">
        <w:rPr>
          <w:rFonts w:asciiTheme="majorBidi" w:eastAsia="Times New Roman" w:hAnsiTheme="majorBidi" w:cstheme="majorBidi"/>
          <w:i/>
          <w:iCs/>
        </w:rPr>
        <w:t>International Journal of Finance and Economics</w:t>
      </w:r>
      <w:r w:rsidRPr="004656FC">
        <w:rPr>
          <w:rFonts w:asciiTheme="majorBidi" w:eastAsia="Times New Roman" w:hAnsiTheme="majorBidi" w:cstheme="majorBidi"/>
        </w:rPr>
        <w:t xml:space="preserve">, </w:t>
      </w:r>
      <w:r w:rsidRPr="004656FC">
        <w:rPr>
          <w:rFonts w:asciiTheme="majorBidi" w:eastAsia="Times New Roman" w:hAnsiTheme="majorBidi" w:cstheme="majorBidi"/>
          <w:i/>
          <w:iCs/>
        </w:rPr>
        <w:t>30</w:t>
      </w:r>
      <w:r w:rsidRPr="004656FC">
        <w:rPr>
          <w:rFonts w:asciiTheme="majorBidi" w:eastAsia="Times New Roman" w:hAnsiTheme="majorBidi" w:cstheme="majorBidi"/>
        </w:rPr>
        <w:t xml:space="preserve">(3), 2883–2911. </w:t>
      </w:r>
      <w:hyperlink r:id="rId35" w:history="1">
        <w:r w:rsidRPr="004656FC">
          <w:rPr>
            <w:rStyle w:val="Hyperlink"/>
            <w:rFonts w:asciiTheme="majorBidi" w:eastAsia="Times New Roman" w:hAnsiTheme="majorBidi" w:cstheme="majorBidi"/>
          </w:rPr>
          <w:t>https://doi.org/10.1002/ijfe.3048</w:t>
        </w:r>
      </w:hyperlink>
    </w:p>
    <w:p w14:paraId="324942D4" w14:textId="21AB9E92" w:rsidR="00762A1D" w:rsidRPr="00CB1162" w:rsidRDefault="00000000" w:rsidP="00CB1162">
      <w:pPr>
        <w:spacing w:line="240" w:lineRule="auto"/>
        <w:ind w:left="567" w:hanging="567"/>
        <w:jc w:val="both"/>
        <w:rPr>
          <w:rFonts w:asciiTheme="majorBidi" w:eastAsia="Times New Roman" w:hAnsiTheme="majorBidi" w:cstheme="majorBidi"/>
        </w:rPr>
      </w:pPr>
      <w:proofErr w:type="spellStart"/>
      <w:r w:rsidRPr="00CB1162">
        <w:rPr>
          <w:rFonts w:asciiTheme="majorBidi" w:eastAsia="Times New Roman" w:hAnsiTheme="majorBidi" w:cstheme="majorBidi"/>
        </w:rPr>
        <w:t>Tinungki</w:t>
      </w:r>
      <w:proofErr w:type="spellEnd"/>
      <w:r w:rsidRPr="00CB1162">
        <w:rPr>
          <w:rFonts w:asciiTheme="majorBidi" w:eastAsia="Times New Roman" w:hAnsiTheme="majorBidi" w:cstheme="majorBidi"/>
        </w:rPr>
        <w:t xml:space="preserve">, G. M., Hartono, P. G., Frensidy, B., Sunusi, N., Robiyanto, R., &amp; Atahau, A. D. R. (2025). Revisiting dividend policy in Indonesian green investment firms and associated market reaction: An in-depth analysis over crises period. </w:t>
      </w:r>
      <w:r w:rsidRPr="00CB1162">
        <w:rPr>
          <w:rFonts w:asciiTheme="majorBidi" w:eastAsia="Times New Roman" w:hAnsiTheme="majorBidi" w:cstheme="majorBidi"/>
          <w:i/>
        </w:rPr>
        <w:t>Cogent Business &amp; Management, 12</w:t>
      </w:r>
      <w:r w:rsidRPr="00CB1162">
        <w:rPr>
          <w:rFonts w:asciiTheme="majorBidi" w:eastAsia="Times New Roman" w:hAnsiTheme="majorBidi" w:cstheme="majorBidi"/>
        </w:rPr>
        <w:t>(1), 2467229.</w:t>
      </w:r>
      <w:hyperlink r:id="rId36">
        <w:r w:rsidR="00762A1D" w:rsidRPr="00CB1162">
          <w:rPr>
            <w:rFonts w:asciiTheme="majorBidi" w:eastAsia="Times New Roman" w:hAnsiTheme="majorBidi" w:cstheme="majorBidi"/>
          </w:rPr>
          <w:t xml:space="preserve"> </w:t>
        </w:r>
      </w:hyperlink>
      <w:hyperlink r:id="rId37">
        <w:r w:rsidR="00762A1D" w:rsidRPr="00CB1162">
          <w:rPr>
            <w:rFonts w:asciiTheme="majorBidi" w:eastAsia="Times New Roman" w:hAnsiTheme="majorBidi" w:cstheme="majorBidi"/>
            <w:color w:val="1155CC"/>
            <w:u w:val="single"/>
          </w:rPr>
          <w:t>https://doi.org/10.1080/23311975.2025.2467229</w:t>
        </w:r>
      </w:hyperlink>
    </w:p>
    <w:p w14:paraId="3F959050" w14:textId="77777777" w:rsidR="00762A1D" w:rsidRDefault="00762A1D">
      <w:pPr>
        <w:jc w:val="both"/>
        <w:rPr>
          <w:rFonts w:ascii="Times New Roman" w:eastAsia="Times New Roman" w:hAnsi="Times New Roman" w:cs="Times New Roman"/>
        </w:rPr>
      </w:pPr>
    </w:p>
    <w:sectPr w:rsidR="00762A1D">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94FAACD1-2F45-4345-9683-7E588FB1973F}"/>
    <w:embedItalic r:id="rId2" w:fontKey="{46967FA2-745A-4D38-A551-2177DC90A245}"/>
  </w:font>
  <w:font w:name="Play">
    <w:charset w:val="00"/>
    <w:family w:val="auto"/>
    <w:pitch w:val="default"/>
    <w:embedRegular r:id="rId3" w:fontKey="{B5977719-726E-41DF-97C1-604F5C2A477D}"/>
  </w:font>
  <w:font w:name="Aptos Display">
    <w:charset w:val="00"/>
    <w:family w:val="swiss"/>
    <w:pitch w:val="variable"/>
    <w:sig w:usb0="20000287" w:usb1="00000003" w:usb2="00000000" w:usb3="00000000" w:csb0="0000019F" w:csb1="00000000"/>
    <w:embedRegular r:id="rId4" w:fontKey="{F3A5C497-7FFF-4987-8710-BEEB1AA5F3AA}"/>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B323A3"/>
    <w:multiLevelType w:val="multilevel"/>
    <w:tmpl w:val="ED1280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39919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A1D"/>
    <w:rsid w:val="004656FC"/>
    <w:rsid w:val="00762A1D"/>
    <w:rsid w:val="007F699A"/>
    <w:rsid w:val="00867C72"/>
    <w:rsid w:val="008B0C98"/>
    <w:rsid w:val="00AD19DF"/>
    <w:rsid w:val="00B94541"/>
    <w:rsid w:val="00C36110"/>
    <w:rsid w:val="00C72D16"/>
    <w:rsid w:val="00CB1162"/>
    <w:rsid w:val="00CD3CAB"/>
    <w:rsid w:val="00DD4A31"/>
    <w:rsid w:val="00DE42A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5ABF4"/>
  <w15:docId w15:val="{209AA334-370B-4400-A251-50B97DBB4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ID" w:eastAsia="en-ID"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pPr>
      <w:keepNext/>
      <w:keepLines/>
      <w:spacing w:before="360" w:after="80"/>
      <w:outlineLvl w:val="0"/>
    </w:pPr>
    <w:rPr>
      <w:rFonts w:ascii="Play" w:eastAsia="Play" w:hAnsi="Play" w:cs="Play"/>
      <w:color w:val="0F4761"/>
      <w:sz w:val="40"/>
      <w:szCs w:val="40"/>
    </w:rPr>
  </w:style>
  <w:style w:type="paragraph" w:styleId="Judul2">
    <w:name w:val="heading 2"/>
    <w:basedOn w:val="Normal"/>
    <w:next w:val="Normal"/>
    <w:link w:val="Judul2KAR"/>
    <w:uiPriority w:val="9"/>
    <w:semiHidden/>
    <w:unhideWhenUsed/>
    <w:qFormat/>
    <w:pPr>
      <w:keepNext/>
      <w:keepLines/>
      <w:spacing w:before="160" w:after="80"/>
      <w:outlineLvl w:val="1"/>
    </w:pPr>
    <w:rPr>
      <w:rFonts w:ascii="Play" w:eastAsia="Play" w:hAnsi="Play" w:cs="Play"/>
      <w:color w:val="0F4761"/>
      <w:sz w:val="32"/>
      <w:szCs w:val="32"/>
    </w:rPr>
  </w:style>
  <w:style w:type="paragraph" w:styleId="Judul3">
    <w:name w:val="heading 3"/>
    <w:basedOn w:val="Normal"/>
    <w:next w:val="Normal"/>
    <w:link w:val="Judul3KAR"/>
    <w:uiPriority w:val="9"/>
    <w:semiHidden/>
    <w:unhideWhenUsed/>
    <w:qFormat/>
    <w:pPr>
      <w:keepNext/>
      <w:keepLines/>
      <w:spacing w:before="160" w:after="80"/>
      <w:outlineLvl w:val="2"/>
    </w:pPr>
    <w:rPr>
      <w:color w:val="0F4761"/>
      <w:sz w:val="28"/>
      <w:szCs w:val="28"/>
    </w:rPr>
  </w:style>
  <w:style w:type="paragraph" w:styleId="Judul4">
    <w:name w:val="heading 4"/>
    <w:basedOn w:val="Normal"/>
    <w:next w:val="Normal"/>
    <w:link w:val="Judul4KAR"/>
    <w:uiPriority w:val="9"/>
    <w:semiHidden/>
    <w:unhideWhenUsed/>
    <w:qFormat/>
    <w:pPr>
      <w:keepNext/>
      <w:keepLines/>
      <w:spacing w:before="80" w:after="40"/>
      <w:outlineLvl w:val="3"/>
    </w:pPr>
    <w:rPr>
      <w:i/>
      <w:color w:val="0F4761"/>
    </w:rPr>
  </w:style>
  <w:style w:type="paragraph" w:styleId="Judul5">
    <w:name w:val="heading 5"/>
    <w:basedOn w:val="Normal"/>
    <w:next w:val="Normal"/>
    <w:link w:val="Judul5KAR"/>
    <w:uiPriority w:val="9"/>
    <w:semiHidden/>
    <w:unhideWhenUsed/>
    <w:qFormat/>
    <w:pPr>
      <w:keepNext/>
      <w:keepLines/>
      <w:spacing w:before="80" w:after="40"/>
      <w:outlineLvl w:val="4"/>
    </w:pPr>
    <w:rPr>
      <w:color w:val="0F4761"/>
    </w:rPr>
  </w:style>
  <w:style w:type="paragraph" w:styleId="Judul6">
    <w:name w:val="heading 6"/>
    <w:basedOn w:val="Normal"/>
    <w:next w:val="Normal"/>
    <w:link w:val="Judul6KAR"/>
    <w:uiPriority w:val="9"/>
    <w:semiHidden/>
    <w:unhideWhenUsed/>
    <w:qFormat/>
    <w:pPr>
      <w:keepNext/>
      <w:keepLines/>
      <w:spacing w:before="40" w:after="0"/>
      <w:outlineLvl w:val="5"/>
    </w:pPr>
    <w:rPr>
      <w:i/>
      <w:color w:val="595959"/>
    </w:rPr>
  </w:style>
  <w:style w:type="paragraph" w:styleId="Judul7">
    <w:name w:val="heading 7"/>
    <w:basedOn w:val="Normal"/>
    <w:next w:val="Normal"/>
    <w:link w:val="Judul7KAR"/>
    <w:uiPriority w:val="9"/>
    <w:semiHidden/>
    <w:unhideWhenUsed/>
    <w:qFormat/>
    <w:rsid w:val="00D4799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D4799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D4799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Judul">
    <w:name w:val="Title"/>
    <w:basedOn w:val="Normal"/>
    <w:next w:val="Normal"/>
    <w:link w:val="JudulKAR"/>
    <w:uiPriority w:val="10"/>
    <w:qFormat/>
    <w:pPr>
      <w:spacing w:after="80" w:line="240" w:lineRule="auto"/>
    </w:pPr>
    <w:rPr>
      <w:rFonts w:ascii="Play" w:eastAsia="Play" w:hAnsi="Play" w:cs="Play"/>
      <w:sz w:val="56"/>
      <w:szCs w:val="56"/>
    </w:rPr>
  </w:style>
  <w:style w:type="character" w:customStyle="1" w:styleId="Judul1KAR">
    <w:name w:val="Judul 1 KAR"/>
    <w:basedOn w:val="FontParagrafDefault"/>
    <w:link w:val="Judul1"/>
    <w:uiPriority w:val="9"/>
    <w:rsid w:val="00D47992"/>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D47992"/>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D47992"/>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D47992"/>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D47992"/>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D47992"/>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D47992"/>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D47992"/>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D47992"/>
    <w:rPr>
      <w:rFonts w:eastAsiaTheme="majorEastAsia" w:cstheme="majorBidi"/>
      <w:color w:val="272727" w:themeColor="text1" w:themeTint="D8"/>
    </w:rPr>
  </w:style>
  <w:style w:type="character" w:customStyle="1" w:styleId="JudulKAR">
    <w:name w:val="Judul KAR"/>
    <w:basedOn w:val="FontParagrafDefault"/>
    <w:link w:val="Judul"/>
    <w:uiPriority w:val="10"/>
    <w:rsid w:val="00D47992"/>
    <w:rPr>
      <w:rFonts w:asciiTheme="majorHAnsi" w:eastAsiaTheme="majorEastAsia" w:hAnsiTheme="majorHAnsi" w:cstheme="majorBidi"/>
      <w:spacing w:val="-10"/>
      <w:kern w:val="28"/>
      <w:sz w:val="56"/>
      <w:szCs w:val="56"/>
    </w:rPr>
  </w:style>
  <w:style w:type="character" w:customStyle="1" w:styleId="SubjudulKAR">
    <w:name w:val="Subjudul KAR"/>
    <w:basedOn w:val="FontParagrafDefault"/>
    <w:link w:val="Subjudul"/>
    <w:uiPriority w:val="11"/>
    <w:rsid w:val="00D47992"/>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D47992"/>
    <w:pPr>
      <w:spacing w:before="160"/>
      <w:jc w:val="center"/>
    </w:pPr>
    <w:rPr>
      <w:i/>
      <w:iCs/>
      <w:color w:val="404040" w:themeColor="text1" w:themeTint="BF"/>
    </w:rPr>
  </w:style>
  <w:style w:type="character" w:customStyle="1" w:styleId="KutipanKAR">
    <w:name w:val="Kutipan KAR"/>
    <w:basedOn w:val="FontParagrafDefault"/>
    <w:link w:val="Kutipan"/>
    <w:uiPriority w:val="29"/>
    <w:rsid w:val="00D47992"/>
    <w:rPr>
      <w:i/>
      <w:iCs/>
      <w:color w:val="404040" w:themeColor="text1" w:themeTint="BF"/>
    </w:rPr>
  </w:style>
  <w:style w:type="paragraph" w:styleId="DaftarParagraf">
    <w:name w:val="List Paragraph"/>
    <w:basedOn w:val="Normal"/>
    <w:uiPriority w:val="34"/>
    <w:qFormat/>
    <w:rsid w:val="00D47992"/>
    <w:pPr>
      <w:ind w:left="720"/>
      <w:contextualSpacing/>
    </w:pPr>
  </w:style>
  <w:style w:type="character" w:styleId="PenekananKeras">
    <w:name w:val="Intense Emphasis"/>
    <w:basedOn w:val="FontParagrafDefault"/>
    <w:uiPriority w:val="21"/>
    <w:qFormat/>
    <w:rsid w:val="00D47992"/>
    <w:rPr>
      <w:i/>
      <w:iCs/>
      <w:color w:val="0F4761" w:themeColor="accent1" w:themeShade="BF"/>
    </w:rPr>
  </w:style>
  <w:style w:type="paragraph" w:styleId="KutipanyangSering">
    <w:name w:val="Intense Quote"/>
    <w:basedOn w:val="Normal"/>
    <w:next w:val="Normal"/>
    <w:link w:val="KutipanyangSeringKAR"/>
    <w:uiPriority w:val="30"/>
    <w:qFormat/>
    <w:rsid w:val="00D479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D47992"/>
    <w:rPr>
      <w:i/>
      <w:iCs/>
      <w:color w:val="0F4761" w:themeColor="accent1" w:themeShade="BF"/>
    </w:rPr>
  </w:style>
  <w:style w:type="character" w:styleId="ReferensiyangSering">
    <w:name w:val="Intense Reference"/>
    <w:basedOn w:val="FontParagrafDefault"/>
    <w:uiPriority w:val="32"/>
    <w:qFormat/>
    <w:rsid w:val="00D47992"/>
    <w:rPr>
      <w:b/>
      <w:bCs/>
      <w:smallCaps/>
      <w:color w:val="0F4761" w:themeColor="accent1" w:themeShade="BF"/>
      <w:spacing w:val="5"/>
    </w:rPr>
  </w:style>
  <w:style w:type="paragraph" w:styleId="Subjudul">
    <w:name w:val="Subtitle"/>
    <w:basedOn w:val="Normal"/>
    <w:next w:val="Normal"/>
    <w:link w:val="SubjudulKAR"/>
    <w:uiPriority w:val="11"/>
    <w:qFormat/>
    <w:rPr>
      <w:color w:val="595959"/>
      <w:sz w:val="28"/>
      <w:szCs w:val="28"/>
    </w:rPr>
  </w:style>
  <w:style w:type="character" w:styleId="Hyperlink">
    <w:name w:val="Hyperlink"/>
    <w:basedOn w:val="FontParagrafDefault"/>
    <w:uiPriority w:val="99"/>
    <w:unhideWhenUsed/>
    <w:rsid w:val="00DD4A31"/>
    <w:rPr>
      <w:color w:val="467886" w:themeColor="hyperlink"/>
      <w:u w:val="single"/>
    </w:rPr>
  </w:style>
  <w:style w:type="character" w:styleId="SebutanYangBelumTerselesaikan">
    <w:name w:val="Unresolved Mention"/>
    <w:basedOn w:val="FontParagrafDefault"/>
    <w:uiPriority w:val="99"/>
    <w:semiHidden/>
    <w:unhideWhenUsed/>
    <w:rsid w:val="00DD4A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184/003685018X15337564592469" TargetMode="External"/><Relationship Id="rId18" Type="http://schemas.openxmlformats.org/officeDocument/2006/relationships/hyperlink" Target="https://doi.org/10.1016/j.jclepro.2020.121956?utm_source=chatgpt.com" TargetMode="External"/><Relationship Id="rId26" Type="http://schemas.openxmlformats.org/officeDocument/2006/relationships/hyperlink" Target="https://doi.org/10.1016/j.clscn.2024.100168?utm_source=chatgpt.com" TargetMode="External"/><Relationship Id="rId39" Type="http://schemas.openxmlformats.org/officeDocument/2006/relationships/theme" Target="theme/theme1.xml"/><Relationship Id="rId21" Type="http://schemas.openxmlformats.org/officeDocument/2006/relationships/hyperlink" Target="https://doi.org/10.1016/j.jclepro.2021.128523?utm_source=chatgpt.com" TargetMode="External"/><Relationship Id="rId34" Type="http://schemas.openxmlformats.org/officeDocument/2006/relationships/hyperlink" Target="https://doi.org/10.1177/18479790241231725?utm_source=chatgpt.com" TargetMode="Externa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hyperlink" Target="https://doi.org/10.1109/SIBF63788.2024.10883837" TargetMode="External"/><Relationship Id="rId25" Type="http://schemas.openxmlformats.org/officeDocument/2006/relationships/hyperlink" Target="https://doi.org/10.1080/23311975.2021.1960120?utm_source=chatgpt.com" TargetMode="External"/><Relationship Id="rId33" Type="http://schemas.openxmlformats.org/officeDocument/2006/relationships/hyperlink" Target="https://doi.org/10.1177/18479790241231725?utm_source=chatgpt.com"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i.org/10.5755/j01.ee.34.1.32159?utm_source=chatgpt.com" TargetMode="External"/><Relationship Id="rId20" Type="http://schemas.openxmlformats.org/officeDocument/2006/relationships/hyperlink" Target="https://doi.org/10.1016/j.jclepro.2021.128523?utm_source=chatgpt.com" TargetMode="External"/><Relationship Id="rId29" Type="http://schemas.openxmlformats.org/officeDocument/2006/relationships/hyperlink" Target="https://doi.org/10.1186/s40854-025-00772-1?utm_source=chatgpt.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g"/><Relationship Id="rId24" Type="http://schemas.openxmlformats.org/officeDocument/2006/relationships/hyperlink" Target="https://doi.org/10.1080/23311975.2021.1960120?utm_source=chatgpt.com" TargetMode="External"/><Relationship Id="rId32" Type="http://schemas.openxmlformats.org/officeDocument/2006/relationships/hyperlink" Target="https://doi.org/10.1080/23311975.2023.2264004?utm_source=chatgpt.com" TargetMode="External"/><Relationship Id="rId37" Type="http://schemas.openxmlformats.org/officeDocument/2006/relationships/hyperlink" Target="https://doi.org/10.1080/23311975.2025.2467229?utm_source=chatgpt.com" TargetMode="External"/><Relationship Id="rId5" Type="http://schemas.openxmlformats.org/officeDocument/2006/relationships/settings" Target="settings.xml"/><Relationship Id="rId15" Type="http://schemas.openxmlformats.org/officeDocument/2006/relationships/hyperlink" Target="https://doi.org/10.1080/21697213.2019.1625578?utm_source=chatgpt.com" TargetMode="External"/><Relationship Id="rId23" Type="http://schemas.openxmlformats.org/officeDocument/2006/relationships/hyperlink" Target="https://doi.org/10.47836/pjssh.30.1.14?utm_source=chatgpt.com" TargetMode="External"/><Relationship Id="rId28" Type="http://schemas.openxmlformats.org/officeDocument/2006/relationships/hyperlink" Target="https://doi.org/10.52566/msu-econ3.2024.125" TargetMode="External"/><Relationship Id="rId36" Type="http://schemas.openxmlformats.org/officeDocument/2006/relationships/hyperlink" Target="https://doi.org/10.1080/23311975.2025.2467229?utm_source=chatgpt.com" TargetMode="External"/><Relationship Id="rId10" Type="http://schemas.openxmlformats.org/officeDocument/2006/relationships/image" Target="media/image4.png"/><Relationship Id="rId19" Type="http://schemas.openxmlformats.org/officeDocument/2006/relationships/hyperlink" Target="https://doi.org/10.1016/j.jclepro.2020.121956?utm_source=chatgpt.com" TargetMode="External"/><Relationship Id="rId31" Type="http://schemas.openxmlformats.org/officeDocument/2006/relationships/hyperlink" Target="https://doi.org/10.1080/23311975.2023.2264004?utm_source=chatgpt.com" TargetMode="External"/><Relationship Id="rId4" Type="http://schemas.openxmlformats.org/officeDocument/2006/relationships/styles" Target="styles.xml"/><Relationship Id="rId9" Type="http://schemas.openxmlformats.org/officeDocument/2006/relationships/image" Target="media/image3.jpg"/><Relationship Id="rId14" Type="http://schemas.openxmlformats.org/officeDocument/2006/relationships/hyperlink" Target="https://doi.org/10.1080/21697213.2019.1625578?utm_source=chatgpt.com" TargetMode="External"/><Relationship Id="rId22" Type="http://schemas.openxmlformats.org/officeDocument/2006/relationships/hyperlink" Target="https://doi.org/10.47836/pjssh.30.1.14?utm_source=chatgpt.com" TargetMode="External"/><Relationship Id="rId27" Type="http://schemas.openxmlformats.org/officeDocument/2006/relationships/hyperlink" Target="https://doi.org/10.1016/j.clscn.2024.100168?utm_source=chatgpt.com" TargetMode="External"/><Relationship Id="rId30" Type="http://schemas.openxmlformats.org/officeDocument/2006/relationships/hyperlink" Target="https://doi.org/10.1186/s40854-025-00772-1?utm_source=chatgpt.com" TargetMode="External"/><Relationship Id="rId35" Type="http://schemas.openxmlformats.org/officeDocument/2006/relationships/hyperlink" Target="https://doi.org/10.1002/ijfe.3048" TargetMode="External"/><Relationship Id="rId8" Type="http://schemas.openxmlformats.org/officeDocument/2006/relationships/image" Target="media/image2.png"/><Relationship Id="rId3" Type="http://schemas.openxmlformats.org/officeDocument/2006/relationships/numbering" Target="numbering.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L6dTlsG2fkb3ofzGAU+S1SWBVA==">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</go:docsCustomData>
</go:gDocsCustomXmlDataStorage>
</file>

<file path=customXml/itemProps1.xml><?xml version="1.0" encoding="utf-8"?>
<ds:datastoreItem xmlns:ds="http://schemas.openxmlformats.org/officeDocument/2006/customXml" ds:itemID="{151023A8-1432-46DE-88F6-8557A3D7863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10646</Words>
  <Characters>60685</Characters>
  <Application>Microsoft Office Word</Application>
  <DocSecurity>0</DocSecurity>
  <Lines>505</Lines>
  <Paragraphs>142</Paragraphs>
  <ScaleCrop>false</ScaleCrop>
  <Company/>
  <LinksUpToDate>false</LinksUpToDate>
  <CharactersWithSpaces>71189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Deane Rahmamita</dc:creator>
  <cp:lastModifiedBy>Sabna Ainazah Fatikhah, S.M., M.M.</cp:lastModifiedBy>
  <cp:revision>4</cp:revision>
  <dcterms:created xsi:type="dcterms:W3CDTF">2025-09-03T23:21:00Z</dcterms:created>
  <dcterms:modified xsi:type="dcterms:W3CDTF">2025-09-04T01:38:00Z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cb5883ec-4e4c-3af1-8dbe-d5de4a728d7f</vt:lpwstr>
  </property>
  <property fmtid="{D5CDD505-2E9C-101B-9397-08002B2CF9AE}" pid="24" name="Mendeley Citation Style_1">
    <vt:lpwstr>http://www.zotero.org/styles/apa</vt:lpwstr>
  </property>
</Properties>
</file>